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09632">
      <w:pPr>
        <w:pStyle w:val="56"/>
        <w:framePr w:wrap="around"/>
        <w:rPr>
          <w:rFonts w:ascii="Times New Roman"/>
        </w:rPr>
      </w:pPr>
      <w:bookmarkStart w:id="183" w:name="_GoBack"/>
      <w:bookmarkEnd w:id="183"/>
      <w:r>
        <w:rPr>
          <w:rFonts w:ascii="Times New Roman"/>
        </w:rPr>
        <w:fldChar w:fldCharType="begin"/>
      </w:r>
      <w:r>
        <w:rPr>
          <w:rFonts w:ascii="Times New Roman"/>
        </w:rPr>
        <w:instrText xml:space="preserve"> MACROBUTTON MTEditEquationSection2 </w:instrText>
      </w:r>
      <w:r>
        <w:rPr>
          <w:rStyle w:val="82"/>
          <w:rFonts w:hint="eastAsia"/>
        </w:rPr>
        <w:instrText xml:space="preserve">公式章 1 节 1</w:instrText>
      </w:r>
      <w:r>
        <w:rPr>
          <w:rFonts w:ascii="Times New Roman"/>
        </w:rPr>
        <w:fldChar w:fldCharType="begin"/>
      </w:r>
      <w:r>
        <w:rPr>
          <w:rFonts w:ascii="Times New Roman"/>
        </w:rPr>
        <w:instrText xml:space="preserve"> </w:instrText>
      </w:r>
      <w:r>
        <w:rPr>
          <w:rFonts w:hint="eastAsia" w:ascii="Times New Roman"/>
        </w:rPr>
        <w:instrText xml:space="preserve">SEQ MTEqn \r \h \* MERGEFORMAT</w:instrText>
      </w:r>
      <w:r>
        <w:rPr>
          <w:rFonts w:ascii="Times New Roman"/>
        </w:rPr>
        <w:instrText xml:space="preserve"> </w:instrText>
      </w:r>
      <w:r>
        <w:rPr>
          <w:rFonts w:ascii="Times New Roman"/>
        </w:rPr>
        <w:fldChar w:fldCharType="end"/>
      </w:r>
      <w:r>
        <w:rPr>
          <w:rFonts w:ascii="Times New Roman"/>
        </w:rPr>
        <w:fldChar w:fldCharType="begin"/>
      </w:r>
      <w:r>
        <w:rPr>
          <w:rFonts w:ascii="Times New Roman"/>
        </w:rPr>
        <w:instrText xml:space="preserve"> SEQ MTSec \r 1 \h \* MERGEFORMAT </w:instrText>
      </w:r>
      <w:r>
        <w:rPr>
          <w:rFonts w:ascii="Times New Roman"/>
        </w:rPr>
        <w:fldChar w:fldCharType="end"/>
      </w:r>
      <w:r>
        <w:rPr>
          <w:rFonts w:ascii="Times New Roman"/>
        </w:rPr>
        <w:fldChar w:fldCharType="begin"/>
      </w:r>
      <w:r>
        <w:rPr>
          <w:rFonts w:ascii="Times New Roman"/>
        </w:rPr>
        <w:instrText xml:space="preserve"> SEQ MTChap \r 1 \h \* MERGEFORMAT </w:instrText>
      </w:r>
      <w:r>
        <w:rPr>
          <w:rFonts w:ascii="Times New Roman"/>
        </w:rPr>
        <w:fldChar w:fldCharType="end"/>
      </w:r>
      <w:r>
        <w:rPr>
          <w:rFonts w:ascii="Times New Roman"/>
        </w:rPr>
        <w:fldChar w:fldCharType="end"/>
      </w:r>
      <w:r>
        <w:rPr>
          <w:rFonts w:ascii="Times New Roman"/>
        </w:rPr>
        <w:t>ICS</w:t>
      </w:r>
      <w:r>
        <w:rPr>
          <w:rFonts w:hint="eastAsia" w:ascii="Times New Roman"/>
        </w:rPr>
        <w:t xml:space="preserve"> 13.020.40</w:t>
      </w:r>
    </w:p>
    <w:p w14:paraId="2DFEE3A4">
      <w:pPr>
        <w:pStyle w:val="56"/>
        <w:framePr w:wrap="around"/>
        <w:rPr>
          <w:rFonts w:ascii="Times New Roman"/>
        </w:rPr>
      </w:pPr>
      <w:r>
        <w:rPr>
          <w:rFonts w:ascii="Times New Roman"/>
        </w:rPr>
        <w:t>CCS</w:t>
      </w:r>
      <w:r>
        <w:rPr>
          <w:rFonts w:hint="eastAsia" w:ascii="Times New Roman"/>
        </w:rPr>
        <w:t xml:space="preserve"> Z05</w:t>
      </w:r>
    </w:p>
    <w:p w14:paraId="266FDE80">
      <w:pPr>
        <w:pStyle w:val="56"/>
        <w:framePr w:wrap="around"/>
      </w:pPr>
    </w:p>
    <w:p w14:paraId="2CB798C3">
      <w:pPr>
        <w:pStyle w:val="53"/>
        <w:framePr w:wrap="around"/>
      </w:pPr>
      <w:r>
        <w:t>DB</w:t>
      </w:r>
      <w:r>
        <w:rPr>
          <w:rFonts w:hint="eastAsia"/>
        </w:rPr>
        <w:t>61</w:t>
      </w:r>
    </w:p>
    <w:p w14:paraId="1A6C3687">
      <w:pPr>
        <w:pStyle w:val="48"/>
        <w:framePr w:wrap="around"/>
        <w:rPr>
          <w:rFonts w:hint="eastAsia" w:hAnsi="黑体"/>
        </w:rPr>
      </w:pPr>
      <w:r>
        <w:rPr>
          <w:rFonts w:ascii="Times New Roman"/>
        </w:rPr>
        <w:t xml:space="preserve">DB </w:t>
      </w:r>
      <w:r>
        <w:rPr>
          <w:rFonts w:hint="eastAsia" w:hAnsi="黑体"/>
        </w:rPr>
        <w:t>61</w:t>
      </w:r>
      <w:r>
        <w:rPr>
          <w:rFonts w:hAnsi="黑体"/>
        </w:rPr>
        <w:t xml:space="preserve">/ </w:t>
      </w:r>
      <w:r>
        <w:rPr>
          <w:rFonts w:hAnsi="黑体"/>
        </w:rPr>
        <w:fldChar w:fldCharType="begin">
          <w:ffData>
            <w:name w:val="StdNo1"/>
            <w:enabled/>
            <w:calcOnExit w:val="0"/>
            <w:textInput>
              <w:default w:val="TXXX"/>
            </w:textInput>
          </w:ffData>
        </w:fldChar>
      </w:r>
      <w:r>
        <w:rPr>
          <w:rFonts w:hAnsi="黑体"/>
        </w:rPr>
        <w:instrText xml:space="preserve"> FORMTEXT </w:instrText>
      </w:r>
      <w:r>
        <w:rPr>
          <w:rFonts w:hAnsi="黑体"/>
        </w:rPr>
        <w:fldChar w:fldCharType="separate"/>
      </w:r>
      <w:r>
        <w:rPr>
          <w:rFonts w:hAnsi="黑体"/>
        </w:rPr>
        <w:t>TXXX</w:t>
      </w:r>
      <w:r>
        <w:rPr>
          <w:rFonts w:hAnsi="黑体"/>
        </w:rPr>
        <w:fldChar w:fldCharType="end"/>
      </w:r>
      <w:r>
        <w:rPr>
          <w:rFonts w:hAnsi="黑体"/>
        </w:rPr>
        <w:t>—</w:t>
      </w:r>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p>
    <w:p w14:paraId="447489AC">
      <w:pPr>
        <w:pStyle w:val="48"/>
        <w:framePr w:wrap="around"/>
        <w:rPr>
          <w:rFonts w:hint="eastAsia" w:hAnsi="黑体"/>
        </w:rPr>
      </w:pPr>
    </w:p>
    <w:p w14:paraId="45D260E7">
      <w:pPr>
        <w:pStyle w:val="48"/>
        <w:framePr w:wrap="around"/>
        <w:rPr>
          <w:rFonts w:hint="eastAsia" w:hAnsi="黑体"/>
        </w:rPr>
      </w:pPr>
    </w:p>
    <w:p w14:paraId="32DC5A75">
      <w:pPr>
        <w:pStyle w:val="50"/>
        <w:framePr w:wrap="around" w:x="1544" w:y="6288"/>
      </w:pPr>
      <w:bookmarkStart w:id="0" w:name="_Hlk193268929"/>
      <w:r>
        <w:rPr>
          <w:rFonts w:hint="eastAsia"/>
        </w:rPr>
        <w:t>涉重金属矿山环境污染防治技术指南</w:t>
      </w:r>
    </w:p>
    <w:p w14:paraId="4A86FA7E">
      <w:pPr>
        <w:pStyle w:val="50"/>
        <w:framePr w:wrap="around" w:x="1544" w:y="6288"/>
        <w:overflowPunct w:val="0"/>
        <w:spacing w:line="720" w:lineRule="exact"/>
        <w:rPr>
          <w:rFonts w:hint="eastAsia" w:hAnsi="黑体"/>
          <w:szCs w:val="52"/>
        </w:rPr>
      </w:pPr>
      <w:r>
        <w:rPr>
          <w:rFonts w:hint="eastAsia" w:hAnsi="黑体"/>
          <w:szCs w:val="52"/>
        </w:rPr>
        <w:t>第4部分：</w:t>
      </w:r>
      <w:bookmarkStart w:id="1" w:name="_Hlk193269022"/>
      <w:r>
        <w:rPr>
          <w:rFonts w:hint="eastAsia" w:hAnsi="黑体"/>
          <w:szCs w:val="52"/>
        </w:rPr>
        <w:t>分区风险评估及防控</w:t>
      </w:r>
      <w:bookmarkEnd w:id="0"/>
      <w:bookmarkEnd w:id="1"/>
    </w:p>
    <w:p w14:paraId="37449242">
      <w:pPr>
        <w:pStyle w:val="50"/>
        <w:framePr w:wrap="around" w:x="1544" w:y="6288"/>
        <w:overflowPunct w:val="0"/>
        <w:spacing w:line="720" w:lineRule="exact"/>
        <w:rPr>
          <w:rFonts w:hint="eastAsia" w:hAnsi="黑体"/>
          <w:sz w:val="28"/>
          <w:szCs w:val="28"/>
        </w:rPr>
      </w:pPr>
    </w:p>
    <w:p w14:paraId="5CABC9B0">
      <w:pPr>
        <w:pStyle w:val="51"/>
        <w:framePr w:wrap="around" w:x="1544" w:y="6288"/>
      </w:pPr>
      <w:r>
        <w:rPr>
          <w:rFonts w:hint="eastAsia"/>
        </w:rPr>
        <w:t xml:space="preserve">Guidelines for environmental pollution prevention and control in heavy metal-involved mines—Part 4：Zoned risk assessment and prevention </w:t>
      </w:r>
    </w:p>
    <w:p w14:paraId="45654B5D">
      <w:pPr>
        <w:pStyle w:val="52"/>
        <w:framePr w:wrap="around" w:x="1544" w:y="6288"/>
      </w:pPr>
      <w:r>
        <w:rPr>
          <w:rFonts w:hint="eastAsia"/>
        </w:rPr>
        <w:t>（征求意见稿）</w:t>
      </w:r>
    </w:p>
    <w:p w14:paraId="5A09143D">
      <w:pPr>
        <w:pStyle w:val="57"/>
        <w:framePr w:wrap="around"/>
      </w:pPr>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9250680</wp:posOffset>
                </wp:positionV>
                <wp:extent cx="6120130" cy="0"/>
                <wp:effectExtent l="0" t="0" r="0" b="0"/>
                <wp:wrapNone/>
                <wp:docPr id="1072741125"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6" o:spid="_x0000_s1026" o:spt="20" style="position:absolute;left:0pt;margin-left:-0.05pt;margin-top:728.4pt;height:0pt;width:481.9pt;mso-position-vertical-relative:page;z-index:251659264;mso-width-relative:page;mso-height-relative:page;" filled="f" stroked="t" coordsize="21600,21600" o:gfxdata="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lQRanW&#10;AAAACwEAAA8AAAAAAAAAAQAgAAAAIgAAAGRycy9kb3ducmV2LnhtbFBLAQIUABQAAAAIAIdO4kAk&#10;6Cpr6QEAALMDAAAOAAAAAAAAAAEAIAAAACUBAABkcnMvZTJvRG9jLnhtbFBLBQYAAAAABgAGAFkB&#10;AACABQAAAAA=&#10;">
                <v:fill on="f" focussize="0,0"/>
                <v:stroke color="#000000" joinstyle="round"/>
                <v:imagedata o:title=""/>
                <o:lock v:ext="edit" aspectratio="f"/>
                <w10:anchorlock/>
              </v:line>
            </w:pict>
          </mc:Fallback>
        </mc:AlternateContent>
      </w:r>
    </w:p>
    <w:p w14:paraId="295A3FC1">
      <w:pPr>
        <w:pStyle w:val="58"/>
        <w:framePr w:wrap="around"/>
      </w:pPr>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rPr>
          <w:rFonts w:ascii="黑体"/>
        </w:rPr>
        <w:t>-</w:t>
      </w:r>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实施</w:t>
      </w:r>
    </w:p>
    <w:p w14:paraId="064C8F8E">
      <w:pPr>
        <w:rPr>
          <w:rFonts w:hint="eastAsia" w:ascii="黑体" w:hAnsi="黑体" w:eastAsia="黑体"/>
          <w:sz w:val="32"/>
          <w:szCs w:val="32"/>
        </w:rPr>
      </w:pPr>
    </w:p>
    <w:p w14:paraId="422BF627">
      <w:pPr>
        <w:rPr>
          <w:rFonts w:hint="eastAsia" w:ascii="黑体" w:hAnsi="黑体" w:eastAsia="黑体"/>
          <w:sz w:val="32"/>
          <w:szCs w:val="32"/>
        </w:rPr>
      </w:pPr>
    </w:p>
    <w:p w14:paraId="2B8F1F85">
      <w:pPr>
        <w:pStyle w:val="54"/>
        <w:framePr w:wrap="around" w:x="2018" w:y="2316"/>
        <w:rPr>
          <w:rFonts w:hint="eastAsia"/>
        </w:rPr>
      </w:pPr>
      <w:bookmarkStart w:id="2" w:name="c4"/>
      <w:r>
        <w:rPr>
          <w:rFonts w:hint="eastAsia"/>
        </w:rPr>
        <w:fldChar w:fldCharType="begin">
          <w:ffData>
            <w:name w:val="c4"/>
            <w:enabled/>
            <w:calcOnExit w:val="0"/>
            <w:textInput>
              <w:default w:val="陕西省"/>
            </w:textInput>
          </w:ffData>
        </w:fldChar>
      </w:r>
      <w:r>
        <w:rPr>
          <w:rFonts w:hint="eastAsia"/>
        </w:rPr>
        <w:instrText xml:space="preserve">FORMTEXT</w:instrText>
      </w:r>
      <w:r>
        <w:rPr>
          <w:rFonts w:hint="eastAsia"/>
        </w:rPr>
        <w:fldChar w:fldCharType="separate"/>
      </w:r>
      <w:r>
        <w:rPr>
          <w:rFonts w:hint="eastAsia"/>
        </w:rPr>
        <w:t>陕西省</w:t>
      </w:r>
      <w:r>
        <w:rPr>
          <w:rFonts w:hint="eastAsia"/>
        </w:rPr>
        <w:fldChar w:fldCharType="end"/>
      </w:r>
      <w:bookmarkEnd w:id="2"/>
      <w:r>
        <w:rPr>
          <w:rFonts w:hint="eastAsia"/>
        </w:rPr>
        <w:t>地方标准</w:t>
      </w:r>
    </w:p>
    <w:p w14:paraId="2CB8F3A1">
      <w:pPr>
        <w:rPr>
          <w:rFonts w:hint="eastAsia" w:ascii="黑体" w:hAnsi="黑体" w:eastAsia="黑体"/>
          <w:sz w:val="32"/>
          <w:szCs w:val="32"/>
        </w:rPr>
      </w:pPr>
    </w:p>
    <w:p w14:paraId="4E6737D0">
      <w:pPr>
        <w:pStyle w:val="55"/>
        <w:framePr w:wrap="around"/>
        <w:rPr>
          <w:color w:val="000000"/>
        </w:rPr>
      </w:pPr>
      <w:bookmarkStart w:id="3" w:name="fm"/>
      <w:r>
        <mc:AlternateContent>
          <mc:Choice Requires="wps">
            <w:drawing>
              <wp:anchor distT="0" distB="0" distL="114300" distR="114300" simplePos="0" relativeHeight="251661312"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1791947735" name="矩形 5"/>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矩形 5" o:spid="_x0000_s1026" o:spt="1" style="position:absolute;left:0pt;margin-left:142.55pt;margin-top:-310.45pt;height:24pt;width:100pt;z-index:-251655168;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bXu1tkAAAANAQAADwAAAAAAAAABACAAAAAiAAAAZHJzL2Rvd25yZXYu&#10;eG1sUEsBAhQAFAAAAAgAh07iQKksJ4XBAQAAdgMAAA4AAAAAAAAAAQAgAAAAKAEAAGRycy9lMm9E&#10;b2MueG1sUEsFBgAAAAAGAAYAWQEAAFsFAAAAAA==&#10;">
                <v:fill on="t" focussize="0,0"/>
                <v:stroke on="f"/>
                <v:imagedata o:title=""/>
                <o:lock v:ext="edit" aspectratio="f"/>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646564091"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矩形 3" o:spid="_x0000_s1026" o:spt="1" style="position:absolute;left:0pt;margin-left:347.55pt;margin-top:-585.45pt;height:18pt;width:90pt;z-index:-251656192;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fyYoR2gAAAA8BAAAPAAAAAAAAAAEAIAAAACIAAABkcnMvZG93bnJl&#10;di54bWxQSwECFAAUAAAACACHTuJANHUZysIBAAB1AwAADgAAAAAAAAABACAAAAApAQAAZHJzL2Uy&#10;b0RvYy54bWxQSwUGAAAAAAYABgBZAQAAXQU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254283023"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1"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slkaDYAAAADwEAAA8AAAAAAAAAAQAgAAAAIgAAAGRycy9kb3ducmV2LnhtbFBLAQIU&#10;ABQAAAAIAIdO4kCF/wSv8wEAAOADAAAOAAAAAAAAAAEAIAAAACcBAABkcnMvZTJvRG9jLnhtbFBL&#10;BQYAAAAABgAGAFkBAACMBQAAAAA=&#10;">
                <v:fill on="f" focussize="0,0"/>
                <v:stroke color="#000000" joinstyle="round"/>
                <v:imagedata o:title=""/>
                <o:lock v:ext="edit" aspectratio="f"/>
              </v:line>
            </w:pict>
          </mc:Fallback>
        </mc:AlternateContent>
      </w:r>
      <w:r>
        <w:rPr>
          <w:color w:val="000000"/>
        </w:rPr>
        <w:fldChar w:fldCharType="begin">
          <w:ffData>
            <w:name w:val="fm"/>
            <w:enabled/>
            <w:calcOnExit w:val="0"/>
            <w:textInput/>
          </w:ffData>
        </w:fldChar>
      </w:r>
      <w:r>
        <w:rPr>
          <w:color w:val="000000"/>
        </w:rPr>
        <w:instrText xml:space="preserve"> FORMTEXT </w:instrText>
      </w:r>
      <w:r>
        <w:rPr>
          <w:color w:val="000000"/>
        </w:rPr>
        <w:fldChar w:fldCharType="separate"/>
      </w:r>
      <w:r>
        <w:rPr>
          <w:rFonts w:hint="eastAsia"/>
          <w:color w:val="000000"/>
        </w:rPr>
        <w:t>陕西省市场监督管理局</w:t>
      </w:r>
      <w:r>
        <w:rPr>
          <w:color w:val="000000"/>
        </w:rPr>
        <w:fldChar w:fldCharType="end"/>
      </w:r>
      <w:bookmarkEnd w:id="3"/>
      <w:r>
        <w:rPr>
          <w:rFonts w:hAnsi="黑体"/>
          <w:color w:val="000000"/>
        </w:rPr>
        <w:t>   </w:t>
      </w:r>
      <w:r>
        <w:rPr>
          <w:rStyle w:val="49"/>
          <w:rFonts w:hint="eastAsia"/>
          <w:color w:val="000000"/>
        </w:rPr>
        <w:t>发布</w:t>
      </w:r>
    </w:p>
    <w:p w14:paraId="68D4F59C">
      <w:pPr>
        <w:rPr>
          <w:rFonts w:hint="eastAsia" w:ascii="黑体" w:hAnsi="黑体" w:eastAsia="黑体"/>
          <w:sz w:val="32"/>
          <w:szCs w:val="32"/>
        </w:rPr>
      </w:pPr>
    </w:p>
    <w:p w14:paraId="4CDF53B6">
      <w:pPr>
        <w:rPr>
          <w:rFonts w:hint="eastAsia" w:ascii="黑体" w:hAnsi="黑体" w:eastAsia="黑体"/>
          <w:sz w:val="32"/>
          <w:szCs w:val="32"/>
        </w:rPr>
      </w:pPr>
    </w:p>
    <w:p w14:paraId="2E9B587E">
      <w:pPr>
        <w:rPr>
          <w:rFonts w:hint="eastAsia" w:ascii="黑体" w:hAnsi="黑体" w:eastAsia="黑体"/>
          <w:sz w:val="32"/>
          <w:szCs w:val="32"/>
        </w:rPr>
      </w:pPr>
    </w:p>
    <w:p w14:paraId="2D5F0F1D">
      <w:pPr>
        <w:rPr>
          <w:rFonts w:hint="eastAsia"/>
        </w:rPr>
        <w:sectPr>
          <w:headerReference r:id="rId3" w:type="default"/>
          <w:footerReference r:id="rId5" w:type="default"/>
          <w:headerReference r:id="rId4" w:type="even"/>
          <w:footerReference r:id="rId6" w:type="even"/>
          <w:pgSz w:w="11906" w:h="16838"/>
          <w:pgMar w:top="1440" w:right="1800" w:bottom="1440" w:left="1800" w:header="851" w:footer="992" w:gutter="0"/>
          <w:pgNumType w:fmt="upperRoman" w:start="1"/>
          <w:cols w:space="720" w:num="1"/>
          <w:docGrid w:type="lines" w:linePitch="312" w:charSpace="0"/>
        </w:sectPr>
      </w:pPr>
      <w:bookmarkStart w:id="4" w:name="_Toc182575423"/>
      <w:bookmarkStart w:id="5" w:name="_Toc185097888"/>
      <w:bookmarkStart w:id="6" w:name="_Toc76719458"/>
      <w:bookmarkStart w:id="7" w:name="_Toc157957242"/>
      <w:bookmarkStart w:id="8" w:name="_Toc15843_WPSOffice_Level1"/>
      <w:bookmarkStart w:id="9" w:name="_Toc524685790"/>
    </w:p>
    <w:p w14:paraId="1749EEA8">
      <w:pPr>
        <w:pStyle w:val="59"/>
      </w:pPr>
      <w:bookmarkStart w:id="10" w:name="_Toc192075737"/>
      <w:bookmarkStart w:id="11" w:name="_Toc193268261"/>
      <w:bookmarkStart w:id="12" w:name="_Toc194588980"/>
      <w:r>
        <w:rPr>
          <w:rFonts w:hint="eastAsia"/>
        </w:rPr>
        <w:t>目</w:t>
      </w:r>
      <w:r>
        <w:t>  </w:t>
      </w:r>
      <w:r>
        <w:rPr>
          <w:rFonts w:hint="eastAsia"/>
        </w:rPr>
        <w:t>次</w:t>
      </w:r>
      <w:bookmarkEnd w:id="4"/>
      <w:bookmarkEnd w:id="5"/>
      <w:bookmarkEnd w:id="10"/>
      <w:bookmarkEnd w:id="11"/>
      <w:bookmarkEnd w:id="12"/>
    </w:p>
    <w:p w14:paraId="6413B622">
      <w:pPr>
        <w:pStyle w:val="17"/>
        <w:rPr>
          <w:rFonts w:hint="eastAsia" w:ascii="宋体" w:hAnsi="宋体" w:eastAsia="宋体" w:cstheme="minorBidi"/>
          <w:sz w:val="22"/>
          <w:szCs w:val="24"/>
          <w14:ligatures w14:val="standardContextual"/>
        </w:rPr>
      </w:pPr>
      <w:r>
        <w:rPr>
          <w:rFonts w:ascii="宋体" w:hAnsi="宋体" w:eastAsia="宋体"/>
        </w:rPr>
        <w:fldChar w:fldCharType="begin"/>
      </w:r>
      <w:r>
        <w:rPr>
          <w:rFonts w:ascii="宋体" w:hAnsi="宋体" w:eastAsia="宋体"/>
        </w:rPr>
        <w:instrText xml:space="preserve"> TOC \o "1-3" \h \z \u </w:instrText>
      </w:r>
      <w:r>
        <w:rPr>
          <w:rFonts w:ascii="宋体" w:hAnsi="宋体" w:eastAsia="宋体"/>
        </w:rPr>
        <w:fldChar w:fldCharType="separate"/>
      </w:r>
      <w:r>
        <w:fldChar w:fldCharType="begin"/>
      </w:r>
      <w:r>
        <w:instrText xml:space="preserve"> HYPERLINK \l "_Toc194588981" </w:instrText>
      </w:r>
      <w:r>
        <w:fldChar w:fldCharType="separate"/>
      </w:r>
      <w:r>
        <w:rPr>
          <w:rStyle w:val="29"/>
          <w:rFonts w:hint="eastAsia" w:ascii="宋体" w:hAnsi="宋体" w:eastAsia="宋体"/>
        </w:rPr>
        <w:t>前</w:t>
      </w:r>
      <w:r>
        <w:rPr>
          <w:rStyle w:val="29"/>
          <w:rFonts w:ascii="宋体" w:hAnsi="宋体" w:eastAsia="宋体"/>
        </w:rPr>
        <w:t>  </w:t>
      </w:r>
      <w:r>
        <w:rPr>
          <w:rStyle w:val="29"/>
          <w:rFonts w:hint="eastAsia" w:ascii="宋体" w:hAnsi="宋体" w:eastAsia="宋体"/>
        </w:rPr>
        <w:t>言</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_Toc194588981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II</w:t>
      </w:r>
      <w:r>
        <w:rPr>
          <w:rFonts w:hint="eastAsia" w:ascii="宋体" w:hAnsi="宋体" w:eastAsia="宋体"/>
        </w:rPr>
        <w:fldChar w:fldCharType="end"/>
      </w:r>
      <w:r>
        <w:rPr>
          <w:rFonts w:hint="eastAsia" w:ascii="宋体" w:hAnsi="宋体" w:eastAsia="宋体"/>
        </w:rPr>
        <w:fldChar w:fldCharType="end"/>
      </w:r>
    </w:p>
    <w:p w14:paraId="07A47F39">
      <w:pPr>
        <w:pStyle w:val="17"/>
        <w:rPr>
          <w:rFonts w:hint="eastAsia" w:cstheme="minorBidi"/>
          <w:sz w:val="22"/>
          <w:szCs w:val="24"/>
          <w14:ligatures w14:val="standardContextual"/>
        </w:rPr>
      </w:pPr>
      <w:r>
        <w:fldChar w:fldCharType="begin"/>
      </w:r>
      <w:r>
        <w:instrText xml:space="preserve"> HYPERLINK \l "_Toc194588983" </w:instrText>
      </w:r>
      <w:r>
        <w:fldChar w:fldCharType="separate"/>
      </w:r>
      <w:r>
        <w:rPr>
          <w:rStyle w:val="29"/>
          <w:rFonts w:hint="eastAsia"/>
          <w:kern w:val="0"/>
        </w:rPr>
        <w:t xml:space="preserve">1 </w:t>
      </w:r>
      <w:r>
        <w:rPr>
          <w:rStyle w:val="29"/>
          <w:rFonts w:hint="eastAsia" w:ascii="宋体" w:hAnsi="宋体" w:eastAsia="宋体"/>
          <w:kern w:val="0"/>
        </w:rPr>
        <w:t>范围</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_Toc194588983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1</w:t>
      </w:r>
      <w:r>
        <w:rPr>
          <w:rFonts w:hint="eastAsia" w:ascii="宋体" w:hAnsi="宋体" w:eastAsia="宋体"/>
        </w:rPr>
        <w:fldChar w:fldCharType="end"/>
      </w:r>
      <w:r>
        <w:rPr>
          <w:rFonts w:hint="eastAsia" w:ascii="宋体" w:hAnsi="宋体" w:eastAsia="宋体"/>
        </w:rPr>
        <w:fldChar w:fldCharType="end"/>
      </w:r>
    </w:p>
    <w:p w14:paraId="4CB16827">
      <w:pPr>
        <w:pStyle w:val="17"/>
        <w:rPr>
          <w:rFonts w:hint="eastAsia" w:cstheme="minorBidi"/>
          <w:sz w:val="22"/>
          <w:szCs w:val="24"/>
          <w14:ligatures w14:val="standardContextual"/>
        </w:rPr>
      </w:pPr>
      <w:r>
        <w:fldChar w:fldCharType="begin"/>
      </w:r>
      <w:r>
        <w:instrText xml:space="preserve"> HYPERLINK \l "_Toc194588984" </w:instrText>
      </w:r>
      <w:r>
        <w:fldChar w:fldCharType="separate"/>
      </w:r>
      <w:r>
        <w:rPr>
          <w:rStyle w:val="29"/>
          <w:rFonts w:hint="eastAsia"/>
          <w:kern w:val="0"/>
        </w:rPr>
        <w:t xml:space="preserve">2 </w:t>
      </w:r>
      <w:r>
        <w:rPr>
          <w:rStyle w:val="29"/>
          <w:rFonts w:hint="eastAsia" w:ascii="宋体" w:hAnsi="宋体" w:eastAsia="宋体"/>
          <w:kern w:val="0"/>
        </w:rPr>
        <w:t>规范性引用文件</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_Toc194588984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1</w:t>
      </w:r>
      <w:r>
        <w:rPr>
          <w:rFonts w:hint="eastAsia" w:ascii="宋体" w:hAnsi="宋体" w:eastAsia="宋体"/>
        </w:rPr>
        <w:fldChar w:fldCharType="end"/>
      </w:r>
      <w:r>
        <w:rPr>
          <w:rFonts w:hint="eastAsia" w:ascii="宋体" w:hAnsi="宋体" w:eastAsia="宋体"/>
        </w:rPr>
        <w:fldChar w:fldCharType="end"/>
      </w:r>
    </w:p>
    <w:p w14:paraId="4CF56DB8">
      <w:pPr>
        <w:pStyle w:val="17"/>
        <w:rPr>
          <w:rFonts w:hint="eastAsia" w:cstheme="minorBidi"/>
          <w:sz w:val="22"/>
          <w:szCs w:val="24"/>
          <w14:ligatures w14:val="standardContextual"/>
        </w:rPr>
      </w:pPr>
      <w:r>
        <w:fldChar w:fldCharType="begin"/>
      </w:r>
      <w:r>
        <w:instrText xml:space="preserve"> HYPERLINK \l "_Toc194588985" </w:instrText>
      </w:r>
      <w:r>
        <w:fldChar w:fldCharType="separate"/>
      </w:r>
      <w:r>
        <w:rPr>
          <w:rStyle w:val="29"/>
          <w:rFonts w:hint="eastAsia"/>
          <w:kern w:val="0"/>
        </w:rPr>
        <w:t xml:space="preserve">3 </w:t>
      </w:r>
      <w:r>
        <w:rPr>
          <w:rStyle w:val="29"/>
          <w:rFonts w:hint="eastAsia" w:ascii="宋体" w:hAnsi="宋体" w:eastAsia="宋体"/>
          <w:kern w:val="0"/>
        </w:rPr>
        <w:t>术语和定义</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_Toc194588985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1</w:t>
      </w:r>
      <w:r>
        <w:rPr>
          <w:rFonts w:hint="eastAsia" w:ascii="宋体" w:hAnsi="宋体" w:eastAsia="宋体"/>
        </w:rPr>
        <w:fldChar w:fldCharType="end"/>
      </w:r>
      <w:r>
        <w:rPr>
          <w:rFonts w:hint="eastAsia" w:ascii="宋体" w:hAnsi="宋体" w:eastAsia="宋体"/>
        </w:rPr>
        <w:fldChar w:fldCharType="end"/>
      </w:r>
    </w:p>
    <w:p w14:paraId="7E7F059B">
      <w:pPr>
        <w:pStyle w:val="17"/>
        <w:rPr>
          <w:rFonts w:hint="eastAsia" w:cstheme="minorBidi"/>
          <w:sz w:val="22"/>
          <w:szCs w:val="24"/>
          <w14:ligatures w14:val="standardContextual"/>
        </w:rPr>
      </w:pPr>
      <w:r>
        <w:fldChar w:fldCharType="begin"/>
      </w:r>
      <w:r>
        <w:instrText xml:space="preserve"> HYPERLINK \l "_Toc194588986" </w:instrText>
      </w:r>
      <w:r>
        <w:fldChar w:fldCharType="separate"/>
      </w:r>
      <w:r>
        <w:rPr>
          <w:rStyle w:val="29"/>
          <w:rFonts w:hint="eastAsia"/>
          <w:kern w:val="0"/>
        </w:rPr>
        <w:t>4</w:t>
      </w:r>
      <w:r>
        <w:rPr>
          <w:rStyle w:val="29"/>
          <w:rFonts w:hint="eastAsia" w:ascii="宋体" w:hAnsi="宋体" w:eastAsia="宋体"/>
          <w:kern w:val="0"/>
        </w:rPr>
        <w:t>工作程序</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_Toc194588986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2</w:t>
      </w:r>
      <w:r>
        <w:rPr>
          <w:rFonts w:hint="eastAsia" w:ascii="宋体" w:hAnsi="宋体" w:eastAsia="宋体"/>
        </w:rPr>
        <w:fldChar w:fldCharType="end"/>
      </w:r>
      <w:r>
        <w:rPr>
          <w:rFonts w:hint="eastAsia" w:ascii="宋体" w:hAnsi="宋体" w:eastAsia="宋体"/>
        </w:rPr>
        <w:fldChar w:fldCharType="end"/>
      </w:r>
    </w:p>
    <w:p w14:paraId="6A06FC60">
      <w:pPr>
        <w:pStyle w:val="17"/>
        <w:rPr>
          <w:rFonts w:hint="eastAsia" w:cstheme="minorBidi"/>
          <w:sz w:val="22"/>
          <w:szCs w:val="24"/>
          <w14:ligatures w14:val="standardContextual"/>
        </w:rPr>
      </w:pPr>
      <w:r>
        <w:fldChar w:fldCharType="begin"/>
      </w:r>
      <w:r>
        <w:instrText xml:space="preserve"> HYPERLINK \l "_Toc194588987" </w:instrText>
      </w:r>
      <w:r>
        <w:fldChar w:fldCharType="separate"/>
      </w:r>
      <w:r>
        <w:rPr>
          <w:rStyle w:val="29"/>
          <w:rFonts w:hint="eastAsia"/>
          <w:kern w:val="0"/>
        </w:rPr>
        <w:t xml:space="preserve">5 </w:t>
      </w:r>
      <w:r>
        <w:rPr>
          <w:rStyle w:val="29"/>
          <w:rFonts w:hint="eastAsia" w:ascii="宋体" w:hAnsi="宋体" w:eastAsia="宋体"/>
          <w:kern w:val="0"/>
        </w:rPr>
        <w:t>工作准备</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_Toc194588987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4</w:t>
      </w:r>
      <w:r>
        <w:rPr>
          <w:rFonts w:hint="eastAsia" w:ascii="宋体" w:hAnsi="宋体" w:eastAsia="宋体"/>
        </w:rPr>
        <w:fldChar w:fldCharType="end"/>
      </w:r>
      <w:r>
        <w:rPr>
          <w:rFonts w:hint="eastAsia" w:ascii="宋体" w:hAnsi="宋体" w:eastAsia="宋体"/>
        </w:rPr>
        <w:fldChar w:fldCharType="end"/>
      </w:r>
    </w:p>
    <w:p w14:paraId="5E56EE17">
      <w:pPr>
        <w:pStyle w:val="17"/>
        <w:rPr>
          <w:rFonts w:hint="eastAsia" w:cstheme="minorBidi"/>
          <w:sz w:val="22"/>
          <w:szCs w:val="24"/>
          <w14:ligatures w14:val="standardContextual"/>
        </w:rPr>
      </w:pPr>
      <w:r>
        <w:fldChar w:fldCharType="begin"/>
      </w:r>
      <w:r>
        <w:instrText xml:space="preserve"> HYPERLINK \l "_Toc194588990" </w:instrText>
      </w:r>
      <w:r>
        <w:fldChar w:fldCharType="separate"/>
      </w:r>
      <w:r>
        <w:rPr>
          <w:rStyle w:val="29"/>
          <w:rFonts w:hint="eastAsia"/>
          <w:kern w:val="0"/>
        </w:rPr>
        <w:t xml:space="preserve">6 </w:t>
      </w:r>
      <w:r>
        <w:rPr>
          <w:rStyle w:val="29"/>
          <w:rFonts w:hint="eastAsia" w:ascii="宋体" w:hAnsi="宋体" w:eastAsia="宋体"/>
          <w:kern w:val="0"/>
        </w:rPr>
        <w:t>环境污染风险评估</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_Toc194588990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4</w:t>
      </w:r>
      <w:r>
        <w:rPr>
          <w:rFonts w:hint="eastAsia" w:ascii="宋体" w:hAnsi="宋体" w:eastAsia="宋体"/>
        </w:rPr>
        <w:fldChar w:fldCharType="end"/>
      </w:r>
      <w:r>
        <w:rPr>
          <w:rFonts w:hint="eastAsia" w:ascii="宋体" w:hAnsi="宋体" w:eastAsia="宋体"/>
        </w:rPr>
        <w:fldChar w:fldCharType="end"/>
      </w:r>
    </w:p>
    <w:p w14:paraId="03998C51">
      <w:pPr>
        <w:pStyle w:val="17"/>
        <w:rPr>
          <w:rFonts w:hint="eastAsia" w:cstheme="minorBidi"/>
          <w:sz w:val="22"/>
          <w:szCs w:val="24"/>
          <w14:ligatures w14:val="standardContextual"/>
        </w:rPr>
      </w:pPr>
      <w:r>
        <w:fldChar w:fldCharType="begin"/>
      </w:r>
      <w:r>
        <w:instrText xml:space="preserve"> HYPERLINK \l "_Toc194588996" </w:instrText>
      </w:r>
      <w:r>
        <w:fldChar w:fldCharType="separate"/>
      </w:r>
      <w:r>
        <w:rPr>
          <w:rStyle w:val="29"/>
          <w:rFonts w:hint="eastAsia"/>
          <w:kern w:val="0"/>
        </w:rPr>
        <w:t xml:space="preserve">7 </w:t>
      </w:r>
      <w:r>
        <w:rPr>
          <w:rStyle w:val="29"/>
          <w:rFonts w:hint="eastAsia" w:ascii="宋体" w:hAnsi="宋体" w:eastAsia="宋体"/>
          <w:kern w:val="0"/>
        </w:rPr>
        <w:t>风险防控目标与策略制定</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_Toc194588996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8</w:t>
      </w:r>
      <w:r>
        <w:rPr>
          <w:rFonts w:hint="eastAsia" w:ascii="宋体" w:hAnsi="宋体" w:eastAsia="宋体"/>
        </w:rPr>
        <w:fldChar w:fldCharType="end"/>
      </w:r>
      <w:r>
        <w:rPr>
          <w:rFonts w:hint="eastAsia" w:ascii="宋体" w:hAnsi="宋体" w:eastAsia="宋体"/>
        </w:rPr>
        <w:fldChar w:fldCharType="end"/>
      </w:r>
    </w:p>
    <w:p w14:paraId="498F4276">
      <w:pPr>
        <w:pStyle w:val="17"/>
        <w:rPr>
          <w:rFonts w:hint="eastAsia" w:cstheme="minorBidi"/>
          <w:sz w:val="22"/>
          <w:szCs w:val="24"/>
          <w14:ligatures w14:val="standardContextual"/>
        </w:rPr>
      </w:pPr>
      <w:r>
        <w:fldChar w:fldCharType="begin"/>
      </w:r>
      <w:r>
        <w:instrText xml:space="preserve"> HYPERLINK \l "_Toc194588999" </w:instrText>
      </w:r>
      <w:r>
        <w:fldChar w:fldCharType="separate"/>
      </w:r>
      <w:r>
        <w:rPr>
          <w:rStyle w:val="29"/>
          <w:rFonts w:hint="eastAsia"/>
          <w:kern w:val="0"/>
        </w:rPr>
        <w:t xml:space="preserve">8 </w:t>
      </w:r>
      <w:r>
        <w:rPr>
          <w:rStyle w:val="29"/>
          <w:rFonts w:hint="eastAsia" w:ascii="宋体" w:hAnsi="宋体" w:eastAsia="宋体"/>
          <w:kern w:val="0"/>
        </w:rPr>
        <w:t>报告编制</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_Toc194588999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8</w:t>
      </w:r>
      <w:r>
        <w:rPr>
          <w:rFonts w:hint="eastAsia" w:ascii="宋体" w:hAnsi="宋体" w:eastAsia="宋体"/>
        </w:rPr>
        <w:fldChar w:fldCharType="end"/>
      </w:r>
      <w:r>
        <w:rPr>
          <w:rFonts w:hint="eastAsia" w:ascii="宋体" w:hAnsi="宋体" w:eastAsia="宋体"/>
        </w:rPr>
        <w:fldChar w:fldCharType="end"/>
      </w:r>
    </w:p>
    <w:p w14:paraId="168FF90A">
      <w:pPr>
        <w:pStyle w:val="17"/>
        <w:rPr>
          <w:rFonts w:hint="eastAsia" w:cstheme="minorBidi"/>
          <w:sz w:val="22"/>
          <w:szCs w:val="24"/>
          <w14:ligatures w14:val="standardContextual"/>
        </w:rPr>
      </w:pPr>
      <w:r>
        <w:fldChar w:fldCharType="begin"/>
      </w:r>
      <w:r>
        <w:instrText xml:space="preserve"> HYPERLINK \l "_Toc194589002" </w:instrText>
      </w:r>
      <w:r>
        <w:fldChar w:fldCharType="separate"/>
      </w:r>
      <w:r>
        <w:rPr>
          <w:rStyle w:val="29"/>
          <w:rFonts w:hint="eastAsia" w:cs="黑体"/>
          <w:bCs/>
          <w:kern w:val="36"/>
        </w:rPr>
        <w:t xml:space="preserve">附  录 A  </w:t>
      </w:r>
      <w:r>
        <w:rPr>
          <w:rStyle w:val="29"/>
          <w:rFonts w:hint="eastAsia" w:ascii="宋体" w:hAnsi="宋体" w:eastAsia="宋体" w:cs="黑体"/>
          <w:bCs/>
          <w:kern w:val="36"/>
        </w:rPr>
        <w:t>（规范性）风险源危害性指标评分表</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_Toc194589002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9</w:t>
      </w:r>
      <w:r>
        <w:rPr>
          <w:rFonts w:hint="eastAsia" w:ascii="宋体" w:hAnsi="宋体" w:eastAsia="宋体"/>
        </w:rPr>
        <w:fldChar w:fldCharType="end"/>
      </w:r>
      <w:r>
        <w:rPr>
          <w:rFonts w:hint="eastAsia" w:ascii="宋体" w:hAnsi="宋体" w:eastAsia="宋体"/>
        </w:rPr>
        <w:fldChar w:fldCharType="end"/>
      </w:r>
    </w:p>
    <w:p w14:paraId="1C392018">
      <w:pPr>
        <w:pStyle w:val="17"/>
        <w:rPr>
          <w:rFonts w:hint="eastAsia" w:cstheme="minorBidi"/>
          <w:sz w:val="22"/>
          <w:szCs w:val="24"/>
          <w14:ligatures w14:val="standardContextual"/>
        </w:rPr>
      </w:pPr>
      <w:r>
        <w:fldChar w:fldCharType="begin"/>
      </w:r>
      <w:r>
        <w:instrText xml:space="preserve"> HYPERLINK \l "_Toc194589006" </w:instrText>
      </w:r>
      <w:r>
        <w:fldChar w:fldCharType="separate"/>
      </w:r>
      <w:r>
        <w:rPr>
          <w:rStyle w:val="29"/>
          <w:rFonts w:hint="eastAsia" w:cs="黑体"/>
          <w:bCs/>
          <w:kern w:val="36"/>
        </w:rPr>
        <w:t xml:space="preserve">附  录 B  </w:t>
      </w:r>
      <w:r>
        <w:rPr>
          <w:rStyle w:val="29"/>
          <w:rFonts w:hint="eastAsia" w:ascii="宋体" w:hAnsi="宋体" w:eastAsia="宋体" w:cs="黑体"/>
          <w:bCs/>
          <w:kern w:val="36"/>
        </w:rPr>
        <w:t>（规范性）污染物迁移性指标评分表</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_Toc194589006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12</w:t>
      </w:r>
      <w:r>
        <w:rPr>
          <w:rFonts w:hint="eastAsia" w:ascii="宋体" w:hAnsi="宋体" w:eastAsia="宋体"/>
        </w:rPr>
        <w:fldChar w:fldCharType="end"/>
      </w:r>
      <w:r>
        <w:rPr>
          <w:rFonts w:hint="eastAsia" w:ascii="宋体" w:hAnsi="宋体" w:eastAsia="宋体"/>
        </w:rPr>
        <w:fldChar w:fldCharType="end"/>
      </w:r>
    </w:p>
    <w:p w14:paraId="61502FE4">
      <w:pPr>
        <w:pStyle w:val="17"/>
        <w:rPr>
          <w:rFonts w:hint="eastAsia" w:cstheme="minorBidi"/>
          <w:sz w:val="22"/>
          <w:szCs w:val="24"/>
          <w14:ligatures w14:val="standardContextual"/>
        </w:rPr>
      </w:pPr>
      <w:r>
        <w:fldChar w:fldCharType="begin"/>
      </w:r>
      <w:r>
        <w:instrText xml:space="preserve"> HYPERLINK \l "_Toc194589009" </w:instrText>
      </w:r>
      <w:r>
        <w:fldChar w:fldCharType="separate"/>
      </w:r>
      <w:r>
        <w:rPr>
          <w:rStyle w:val="29"/>
          <w:rFonts w:hint="eastAsia" w:cs="黑体"/>
          <w:bCs/>
          <w:kern w:val="36"/>
        </w:rPr>
        <w:t xml:space="preserve">附  录 C  </w:t>
      </w:r>
      <w:r>
        <w:rPr>
          <w:rStyle w:val="29"/>
          <w:rFonts w:hint="eastAsia" w:ascii="宋体" w:hAnsi="宋体" w:eastAsia="宋体" w:cs="黑体"/>
          <w:bCs/>
          <w:kern w:val="36"/>
        </w:rPr>
        <w:t>（规范性）环境敏感性指标评分表</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_Toc194589009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14</w:t>
      </w:r>
      <w:r>
        <w:rPr>
          <w:rFonts w:hint="eastAsia" w:ascii="宋体" w:hAnsi="宋体" w:eastAsia="宋体"/>
        </w:rPr>
        <w:fldChar w:fldCharType="end"/>
      </w:r>
      <w:r>
        <w:rPr>
          <w:rFonts w:hint="eastAsia" w:ascii="宋体" w:hAnsi="宋体" w:eastAsia="宋体"/>
        </w:rPr>
        <w:fldChar w:fldCharType="end"/>
      </w:r>
    </w:p>
    <w:p w14:paraId="0AD610D8">
      <w:pPr>
        <w:pStyle w:val="17"/>
        <w:rPr>
          <w:rFonts w:hint="eastAsia" w:cstheme="minorBidi"/>
          <w:sz w:val="22"/>
          <w:szCs w:val="24"/>
          <w14:ligatures w14:val="standardContextual"/>
        </w:rPr>
      </w:pPr>
      <w:r>
        <w:fldChar w:fldCharType="begin"/>
      </w:r>
      <w:r>
        <w:instrText xml:space="preserve"> HYPERLINK \l "_Toc194589012" </w:instrText>
      </w:r>
      <w:r>
        <w:fldChar w:fldCharType="separate"/>
      </w:r>
      <w:r>
        <w:rPr>
          <w:rStyle w:val="29"/>
          <w:rFonts w:hint="eastAsia" w:cs="黑体"/>
          <w:bCs/>
          <w:kern w:val="36"/>
        </w:rPr>
        <w:t xml:space="preserve">附  录 D  </w:t>
      </w:r>
      <w:r>
        <w:rPr>
          <w:rStyle w:val="29"/>
          <w:rFonts w:hint="eastAsia" w:ascii="宋体" w:hAnsi="宋体" w:eastAsia="宋体" w:cs="黑体"/>
          <w:bCs/>
          <w:kern w:val="36"/>
        </w:rPr>
        <w:t>（资料性）设金属矿山风险评估和风险防控策略报告编制大纲</w:t>
      </w:r>
      <w:r>
        <w:rPr>
          <w:rFonts w:hint="eastAsia" w:ascii="宋体" w:hAnsi="宋体" w:eastAsia="宋体"/>
        </w:rPr>
        <w:tab/>
      </w:r>
      <w:r>
        <w:rPr>
          <w:rFonts w:hint="eastAsia" w:ascii="宋体" w:hAnsi="宋体" w:eastAsia="宋体"/>
        </w:rPr>
        <w:fldChar w:fldCharType="begin"/>
      </w:r>
      <w:r>
        <w:rPr>
          <w:rFonts w:hint="eastAsia" w:ascii="宋体" w:hAnsi="宋体" w:eastAsia="宋体"/>
        </w:rPr>
        <w:instrText xml:space="preserve"> </w:instrText>
      </w:r>
      <w:r>
        <w:rPr>
          <w:rFonts w:ascii="宋体" w:hAnsi="宋体" w:eastAsia="宋体"/>
        </w:rPr>
        <w:instrText xml:space="preserve">PAGEREF _Toc194589012 \h</w:instrText>
      </w:r>
      <w:r>
        <w:rPr>
          <w:rFonts w:hint="eastAsia" w:ascii="宋体" w:hAnsi="宋体" w:eastAsia="宋体"/>
        </w:rPr>
        <w:instrText xml:space="preserve"> </w:instrText>
      </w:r>
      <w:r>
        <w:rPr>
          <w:rFonts w:hint="eastAsia" w:ascii="宋体" w:hAnsi="宋体" w:eastAsia="宋体"/>
        </w:rPr>
        <w:fldChar w:fldCharType="separate"/>
      </w:r>
      <w:r>
        <w:rPr>
          <w:rFonts w:hint="eastAsia" w:ascii="宋体" w:hAnsi="宋体" w:eastAsia="宋体"/>
        </w:rPr>
        <w:t>15</w:t>
      </w:r>
      <w:r>
        <w:rPr>
          <w:rFonts w:hint="eastAsia" w:ascii="宋体" w:hAnsi="宋体" w:eastAsia="宋体"/>
        </w:rPr>
        <w:fldChar w:fldCharType="end"/>
      </w:r>
      <w:r>
        <w:rPr>
          <w:rFonts w:hint="eastAsia" w:ascii="宋体" w:hAnsi="宋体" w:eastAsia="宋体"/>
        </w:rPr>
        <w:fldChar w:fldCharType="end"/>
      </w:r>
    </w:p>
    <w:p w14:paraId="133D59A6">
      <w:pPr>
        <w:pStyle w:val="11"/>
        <w:tabs>
          <w:tab w:val="right" w:leader="dot" w:pos="8296"/>
        </w:tabs>
        <w:ind w:left="0" w:leftChars="0"/>
        <w:rPr>
          <w:rFonts w:hint="eastAsia"/>
        </w:rPr>
      </w:pPr>
      <w:r>
        <w:rPr>
          <w:rFonts w:ascii="宋体" w:hAnsi="宋体" w:eastAsia="宋体"/>
          <w:lang w:val="zh-CN"/>
        </w:rPr>
        <w:fldChar w:fldCharType="end"/>
      </w:r>
    </w:p>
    <w:p w14:paraId="33A4EFAD">
      <w:pPr>
        <w:pStyle w:val="59"/>
      </w:pPr>
      <w:bookmarkStart w:id="13" w:name="_Toc194588981"/>
      <w:r>
        <w:rPr>
          <w:rFonts w:hint="eastAsia"/>
        </w:rPr>
        <w:t>前</w:t>
      </w:r>
      <w:bookmarkStart w:id="14" w:name="BKQY"/>
      <w:r>
        <w:rPr>
          <w:rFonts w:hAnsi="黑体"/>
        </w:rPr>
        <w:t>  </w:t>
      </w:r>
      <w:r>
        <w:rPr>
          <w:rFonts w:hint="eastAsia"/>
        </w:rPr>
        <w:t>言</w:t>
      </w:r>
      <w:bookmarkEnd w:id="6"/>
      <w:bookmarkEnd w:id="7"/>
      <w:bookmarkEnd w:id="8"/>
      <w:bookmarkEnd w:id="9"/>
      <w:bookmarkEnd w:id="13"/>
      <w:bookmarkEnd w:id="14"/>
    </w:p>
    <w:p w14:paraId="598B866E">
      <w:pPr>
        <w:pStyle w:val="46"/>
        <w:rPr>
          <w:rFonts w:hint="eastAsia" w:hAnsi="宋体"/>
        </w:rPr>
      </w:pPr>
      <w:r>
        <w:rPr>
          <w:rFonts w:hAnsi="宋体"/>
        </w:rPr>
        <w:t>本</w:t>
      </w:r>
      <w:r>
        <w:rPr>
          <w:rFonts w:hint="eastAsia" w:hAnsi="宋体"/>
        </w:rPr>
        <w:t>文件</w:t>
      </w:r>
      <w:bookmarkStart w:id="15" w:name="OLE_LINK2"/>
      <w:bookmarkStart w:id="16" w:name="OLE_LINK1"/>
      <w:r>
        <w:rPr>
          <w:rFonts w:hint="eastAsia" w:hAnsi="宋体"/>
        </w:rPr>
        <w:t>按照</w:t>
      </w:r>
      <w:r>
        <w:rPr>
          <w:rFonts w:hAnsi="宋体"/>
        </w:rPr>
        <w:t>GB/T 1.1</w:t>
      </w:r>
      <w:bookmarkEnd w:id="15"/>
      <w:bookmarkEnd w:id="16"/>
      <w:r>
        <w:rPr>
          <w:rFonts w:hint="eastAsia" w:hAnsi="宋体"/>
        </w:rPr>
        <w:t>—</w:t>
      </w:r>
      <w:r>
        <w:rPr>
          <w:rFonts w:hAnsi="宋体"/>
        </w:rPr>
        <w:t>20</w:t>
      </w:r>
      <w:r>
        <w:rPr>
          <w:rFonts w:hint="eastAsia" w:hAnsi="宋体"/>
        </w:rPr>
        <w:t>20《标准化工作导则 第1部分：标准化文件的结构和起草规则》的规定起草</w:t>
      </w:r>
      <w:r>
        <w:rPr>
          <w:rFonts w:hAnsi="宋体"/>
        </w:rPr>
        <w:t>。</w:t>
      </w:r>
    </w:p>
    <w:p w14:paraId="26D1F664">
      <w:pPr>
        <w:pStyle w:val="46"/>
        <w:rPr>
          <w:rFonts w:hint="eastAsia" w:hAnsi="宋体"/>
        </w:rPr>
      </w:pPr>
      <w:r>
        <w:rPr>
          <w:rFonts w:hint="eastAsia" w:hAnsi="宋体"/>
        </w:rPr>
        <w:t>本文件是DB 61/T××××《涉重金属矿山环境污染防治技术指南》的第1部分。DB 61/T××××已经发布了以下部分：</w:t>
      </w:r>
    </w:p>
    <w:p w14:paraId="5FE6197E">
      <w:pPr>
        <w:pStyle w:val="46"/>
        <w:rPr>
          <w:rFonts w:hint="eastAsia" w:hAnsi="宋体"/>
        </w:rPr>
      </w:pPr>
      <w:r>
        <w:rPr>
          <w:rFonts w:hint="eastAsia" w:hAnsi="宋体"/>
        </w:rPr>
        <w:t>——第1部分：通则；</w:t>
      </w:r>
    </w:p>
    <w:p w14:paraId="196CD556">
      <w:pPr>
        <w:pStyle w:val="46"/>
        <w:rPr>
          <w:rFonts w:hint="eastAsia" w:hAnsi="宋体"/>
        </w:rPr>
      </w:pPr>
      <w:r>
        <w:rPr>
          <w:rFonts w:hint="eastAsia" w:hAnsi="宋体"/>
        </w:rPr>
        <w:t>——第2部分：调查评价；</w:t>
      </w:r>
    </w:p>
    <w:p w14:paraId="7F41008E">
      <w:pPr>
        <w:pStyle w:val="46"/>
        <w:rPr>
          <w:rFonts w:hint="eastAsia" w:hAnsi="宋体"/>
        </w:rPr>
      </w:pPr>
      <w:r>
        <w:rPr>
          <w:rFonts w:hint="eastAsia" w:hAnsi="宋体"/>
        </w:rPr>
        <w:t>——第3部分：监测；</w:t>
      </w:r>
    </w:p>
    <w:p w14:paraId="7BBF5040">
      <w:pPr>
        <w:pStyle w:val="46"/>
        <w:rPr>
          <w:rFonts w:hint="eastAsia" w:hAnsi="宋体"/>
        </w:rPr>
      </w:pPr>
      <w:r>
        <w:rPr>
          <w:rFonts w:hint="eastAsia" w:hAnsi="宋体"/>
        </w:rPr>
        <w:t>——第4部分：分区风险评估及防控；</w:t>
      </w:r>
    </w:p>
    <w:p w14:paraId="7576B370">
      <w:pPr>
        <w:pStyle w:val="46"/>
        <w:rPr>
          <w:rFonts w:hint="eastAsia" w:hAnsi="宋体"/>
        </w:rPr>
      </w:pPr>
      <w:r>
        <w:rPr>
          <w:rFonts w:hint="eastAsia" w:hAnsi="宋体"/>
        </w:rPr>
        <w:t>——第5部分：历史遗留矿山治理可行性研究报告编制；</w:t>
      </w:r>
    </w:p>
    <w:p w14:paraId="65CECA31">
      <w:pPr>
        <w:pStyle w:val="46"/>
        <w:rPr>
          <w:rFonts w:hint="eastAsia" w:hAnsi="宋体"/>
        </w:rPr>
      </w:pPr>
      <w:r>
        <w:rPr>
          <w:rFonts w:hint="eastAsia" w:hAnsi="宋体"/>
        </w:rPr>
        <w:t>——第6部分：矿硐勘查技术；</w:t>
      </w:r>
    </w:p>
    <w:p w14:paraId="492FB967">
      <w:pPr>
        <w:pStyle w:val="46"/>
        <w:rPr>
          <w:rFonts w:hAnsi="宋体"/>
        </w:rPr>
      </w:pPr>
      <w:r>
        <w:rPr>
          <w:rFonts w:hint="eastAsia" w:hAnsi="宋体"/>
        </w:rPr>
        <w:t>——第7部分：废弃矿硐封堵技术。</w:t>
      </w:r>
    </w:p>
    <w:p w14:paraId="59709995">
      <w:pPr>
        <w:pStyle w:val="46"/>
        <w:rPr>
          <w:rFonts w:hint="eastAsia" w:hAnsi="宋体"/>
        </w:rPr>
      </w:pPr>
      <w:r>
        <w:rPr>
          <w:rFonts w:hint="eastAsia" w:hAnsi="宋体"/>
        </w:rPr>
        <w:t>请注意本文件的某些内容可能涉及专利。本文件的发布机构不承担识别专利的责任。</w:t>
      </w:r>
    </w:p>
    <w:p w14:paraId="4FC0C930">
      <w:pPr>
        <w:pStyle w:val="46"/>
        <w:rPr>
          <w:rFonts w:hint="eastAsia" w:hAnsi="宋体"/>
        </w:rPr>
      </w:pPr>
      <w:r>
        <w:rPr>
          <w:rFonts w:hAnsi="宋体"/>
        </w:rPr>
        <w:t>本</w:t>
      </w:r>
      <w:r>
        <w:rPr>
          <w:rFonts w:hint="eastAsia" w:hAnsi="宋体"/>
        </w:rPr>
        <w:t>文件</w:t>
      </w:r>
      <w:r>
        <w:rPr>
          <w:rFonts w:hAnsi="宋体"/>
        </w:rPr>
        <w:t>由陕西省</w:t>
      </w:r>
      <w:r>
        <w:rPr>
          <w:rFonts w:hint="eastAsia" w:hAnsi="宋体"/>
        </w:rPr>
        <w:t>生态</w:t>
      </w:r>
      <w:r>
        <w:rPr>
          <w:rFonts w:hAnsi="宋体"/>
        </w:rPr>
        <w:t>环境厅提出</w:t>
      </w:r>
      <w:r>
        <w:rPr>
          <w:rFonts w:hint="eastAsia" w:hAnsi="宋体"/>
        </w:rPr>
        <w:t>并归口。</w:t>
      </w:r>
    </w:p>
    <w:p w14:paraId="31F30B08">
      <w:pPr>
        <w:pStyle w:val="46"/>
        <w:rPr>
          <w:rFonts w:hint="eastAsia" w:hAnsi="宋体"/>
        </w:rPr>
      </w:pPr>
      <w:r>
        <w:rPr>
          <w:rFonts w:hAnsi="宋体"/>
        </w:rPr>
        <w:t>本</w:t>
      </w:r>
      <w:r>
        <w:rPr>
          <w:rFonts w:hint="eastAsia" w:hAnsi="宋体"/>
        </w:rPr>
        <w:t>文件</w:t>
      </w:r>
      <w:r>
        <w:rPr>
          <w:rFonts w:hAnsi="宋体"/>
        </w:rPr>
        <w:t>起草单位：</w:t>
      </w:r>
      <w:r>
        <w:rPr>
          <w:rFonts w:hint="eastAsia" w:ascii="Times New Roman"/>
          <w:color w:val="000000"/>
          <w:szCs w:val="21"/>
        </w:rPr>
        <w:t>生态环境部环境规划院、陕西省环境科学研究院、中国地质调查局西安地质调查中心、陕西省中勘环境地质研究中心有限公司、陕西省水工环地质调查中心</w:t>
      </w:r>
      <w:r>
        <w:rPr>
          <w:rFonts w:hint="eastAsia" w:hAnsi="宋体"/>
        </w:rPr>
        <w:t>。</w:t>
      </w:r>
    </w:p>
    <w:p w14:paraId="53FB0E84">
      <w:pPr>
        <w:pStyle w:val="46"/>
        <w:rPr>
          <w:rFonts w:hint="eastAsia" w:hAnsi="宋体"/>
        </w:rPr>
      </w:pPr>
      <w:r>
        <w:rPr>
          <w:rFonts w:hint="eastAsia" w:hAnsi="宋体"/>
        </w:rPr>
        <w:t>本文件主要起草人：</w:t>
      </w:r>
      <w:bookmarkStart w:id="17" w:name="_Hlk193268778"/>
      <w:r>
        <w:rPr>
          <w:rFonts w:hint="eastAsia" w:hAnsi="宋体"/>
        </w:rPr>
        <w:t>张宗文、张黎明、吴金文、孙宁、孙长顺、徐友宁、乔雄彪、邹天远、芦红、彭小红、陈华清、马晓炜、闫江涛、杨承华、周夏飞、张战胜、杨克俭、彭渊哲、张培栋、党学亚、谢金艳</w:t>
      </w:r>
      <w:bookmarkEnd w:id="17"/>
      <w:r>
        <w:rPr>
          <w:rFonts w:hint="eastAsia" w:hAnsi="宋体"/>
        </w:rPr>
        <w:t>。</w:t>
      </w:r>
    </w:p>
    <w:p w14:paraId="6168CB46">
      <w:pPr>
        <w:pStyle w:val="46"/>
        <w:rPr>
          <w:rFonts w:hint="eastAsia" w:hAnsi="宋体"/>
        </w:rPr>
      </w:pPr>
      <w:r>
        <w:rPr>
          <w:rFonts w:hAnsi="宋体"/>
        </w:rPr>
        <w:t>本</w:t>
      </w:r>
      <w:r>
        <w:rPr>
          <w:rFonts w:hint="eastAsia" w:hAnsi="宋体"/>
        </w:rPr>
        <w:t>文件</w:t>
      </w:r>
      <w:r>
        <w:rPr>
          <w:rFonts w:hAnsi="宋体"/>
        </w:rPr>
        <w:t>首次发布。</w:t>
      </w:r>
    </w:p>
    <w:p w14:paraId="0C4B16CC">
      <w:pPr>
        <w:pStyle w:val="46"/>
        <w:rPr>
          <w:rFonts w:hint="eastAsia" w:hAnsi="宋体"/>
        </w:rPr>
      </w:pPr>
    </w:p>
    <w:p w14:paraId="37B645D5">
      <w:pPr>
        <w:pStyle w:val="46"/>
        <w:rPr>
          <w:rFonts w:hint="eastAsia" w:hAnsi="宋体"/>
        </w:rPr>
      </w:pPr>
      <w:r>
        <w:rPr>
          <w:rFonts w:hAnsi="宋体"/>
        </w:rPr>
        <w:t>本</w:t>
      </w:r>
      <w:r>
        <w:rPr>
          <w:rFonts w:hint="eastAsia" w:hAnsi="宋体"/>
        </w:rPr>
        <w:t>文件</w:t>
      </w:r>
      <w:r>
        <w:rPr>
          <w:rFonts w:hAnsi="宋体"/>
        </w:rPr>
        <w:t>由陕西省</w:t>
      </w:r>
      <w:r>
        <w:rPr>
          <w:rFonts w:hint="eastAsia" w:hAnsi="宋体"/>
        </w:rPr>
        <w:t>生态</w:t>
      </w:r>
      <w:r>
        <w:rPr>
          <w:rFonts w:hAnsi="宋体"/>
        </w:rPr>
        <w:t>环境厅负责解释。</w:t>
      </w:r>
    </w:p>
    <w:p w14:paraId="66A1DF48">
      <w:pPr>
        <w:pStyle w:val="46"/>
        <w:rPr>
          <w:rFonts w:hint="eastAsia" w:hAnsi="宋体"/>
        </w:rPr>
      </w:pPr>
      <w:r>
        <w:rPr>
          <w:rFonts w:hAnsi="宋体"/>
        </w:rPr>
        <w:t>联系信息如下：</w:t>
      </w:r>
    </w:p>
    <w:p w14:paraId="6AFFC45D">
      <w:pPr>
        <w:pStyle w:val="46"/>
        <w:rPr>
          <w:rFonts w:hint="eastAsia" w:hAnsi="宋体"/>
        </w:rPr>
      </w:pPr>
      <w:r>
        <w:rPr>
          <w:rFonts w:hAnsi="宋体"/>
        </w:rPr>
        <w:t>单位：</w:t>
      </w:r>
      <w:r>
        <w:rPr>
          <w:rFonts w:hint="eastAsia" w:hAnsi="宋体"/>
          <w:color w:val="000000"/>
          <w:szCs w:val="21"/>
        </w:rPr>
        <w:t>生态环境部环境规划院</w:t>
      </w:r>
    </w:p>
    <w:p w14:paraId="711D239C">
      <w:pPr>
        <w:pStyle w:val="46"/>
        <w:rPr>
          <w:rFonts w:hint="eastAsia" w:hAnsi="宋体"/>
        </w:rPr>
      </w:pPr>
      <w:r>
        <w:rPr>
          <w:rFonts w:hAnsi="宋体"/>
        </w:rPr>
        <w:t>电话：</w:t>
      </w:r>
      <w:r>
        <w:rPr>
          <w:rFonts w:hint="eastAsia" w:hAnsi="宋体"/>
          <w:color w:val="000000"/>
          <w:szCs w:val="21"/>
        </w:rPr>
        <w:t>010-84928318</w:t>
      </w:r>
    </w:p>
    <w:p w14:paraId="05EC1362">
      <w:pPr>
        <w:pStyle w:val="46"/>
        <w:rPr>
          <w:rFonts w:hint="eastAsia" w:hAnsi="宋体"/>
        </w:rPr>
      </w:pPr>
      <w:r>
        <w:rPr>
          <w:rFonts w:hAnsi="宋体"/>
        </w:rPr>
        <w:t>地址：</w:t>
      </w:r>
      <w:r>
        <w:rPr>
          <w:rFonts w:hint="eastAsia" w:hAnsi="宋体"/>
          <w:color w:val="000000"/>
          <w:szCs w:val="21"/>
        </w:rPr>
        <w:t>北京市石景山区实兴大街15号院</w:t>
      </w:r>
    </w:p>
    <w:p w14:paraId="4CB045E2">
      <w:pPr>
        <w:ind w:right="-57" w:firstLine="432" w:firstLineChars="206"/>
        <w:rPr>
          <w:rFonts w:hint="eastAsia" w:ascii="宋体" w:hAnsi="宋体" w:eastAsia="宋体"/>
        </w:rPr>
      </w:pPr>
      <w:r>
        <w:rPr>
          <w:rFonts w:ascii="宋体" w:hAnsi="宋体" w:eastAsia="宋体"/>
        </w:rPr>
        <w:t>邮编：</w:t>
      </w:r>
      <w:r>
        <w:rPr>
          <w:rFonts w:hint="eastAsia" w:ascii="宋体" w:hAnsi="宋体" w:eastAsia="宋体"/>
          <w:color w:val="000000"/>
          <w:szCs w:val="21"/>
        </w:rPr>
        <w:t>100040</w:t>
      </w:r>
    </w:p>
    <w:p w14:paraId="3405B1F7">
      <w:pPr>
        <w:jc w:val="center"/>
        <w:rPr>
          <w:rFonts w:hint="eastAsia" w:ascii="黑体" w:hAnsi="黑体" w:eastAsia="黑体"/>
          <w:sz w:val="32"/>
          <w:szCs w:val="32"/>
        </w:rPr>
        <w:sectPr>
          <w:headerReference r:id="rId7" w:type="default"/>
          <w:footerReference r:id="rId8" w:type="default"/>
          <w:pgSz w:w="11906" w:h="16838"/>
          <w:pgMar w:top="1440" w:right="1800" w:bottom="1440" w:left="1800" w:header="851" w:footer="992" w:gutter="0"/>
          <w:pgNumType w:fmt="upperRoman" w:start="1"/>
          <w:cols w:space="720" w:num="1"/>
          <w:docGrid w:type="lines" w:linePitch="312" w:charSpace="0"/>
        </w:sectPr>
      </w:pPr>
    </w:p>
    <w:p w14:paraId="3C7450B3">
      <w:pPr>
        <w:pStyle w:val="62"/>
        <w:rPr>
          <w:rFonts w:hAnsi="Times New Roman"/>
          <w:sz w:val="28"/>
          <w:szCs w:val="18"/>
        </w:rPr>
      </w:pPr>
      <w:bookmarkStart w:id="18" w:name="_Toc194588982"/>
      <w:bookmarkStart w:id="19" w:name="_Toc193268263"/>
      <w:r>
        <w:rPr>
          <w:rFonts w:hint="eastAsia" w:hAnsi="Times New Roman"/>
          <w:sz w:val="28"/>
          <w:szCs w:val="18"/>
        </w:rPr>
        <w:t>涉重金属矿山环境污染防治技术指南 第4部分：分区风险评估及防控</w:t>
      </w:r>
      <w:bookmarkEnd w:id="18"/>
      <w:bookmarkEnd w:id="19"/>
    </w:p>
    <w:p w14:paraId="5548C2A3">
      <w:pPr>
        <w:pStyle w:val="3"/>
        <w:widowControl/>
        <w:spacing w:before="120" w:after="156" w:afterLines="50" w:line="360" w:lineRule="auto"/>
        <w:ind w:left="227" w:hanging="227"/>
        <w:jc w:val="left"/>
        <w:rPr>
          <w:rFonts w:hint="eastAsia" w:ascii="黑体" w:hAnsi="黑体" w:eastAsia="黑体"/>
          <w:b w:val="0"/>
          <w:kern w:val="0"/>
          <w:sz w:val="21"/>
          <w:szCs w:val="21"/>
        </w:rPr>
      </w:pPr>
      <w:bookmarkStart w:id="20" w:name="_Toc4187_WPSOffice_Level1"/>
      <w:bookmarkStart w:id="21" w:name="_Toc194588983"/>
      <w:bookmarkStart w:id="22" w:name="_Toc7626"/>
      <w:bookmarkStart w:id="23" w:name="_Hlk185100725"/>
      <w:r>
        <w:rPr>
          <w:rFonts w:hint="eastAsia" w:ascii="黑体" w:hAnsi="黑体" w:eastAsia="黑体"/>
          <w:b w:val="0"/>
          <w:kern w:val="0"/>
          <w:sz w:val="21"/>
          <w:szCs w:val="21"/>
        </w:rPr>
        <w:t>1 范围</w:t>
      </w:r>
      <w:bookmarkEnd w:id="20"/>
      <w:bookmarkEnd w:id="21"/>
      <w:bookmarkEnd w:id="22"/>
    </w:p>
    <w:p w14:paraId="635FB85C">
      <w:pPr>
        <w:pStyle w:val="46"/>
      </w:pPr>
      <w:r>
        <w:rPr>
          <w:rFonts w:hint="eastAsia"/>
        </w:rPr>
        <w:t>本文件规定了</w:t>
      </w:r>
      <w:bookmarkStart w:id="24" w:name="_Hlk193187361"/>
      <w:r>
        <w:rPr>
          <w:rFonts w:hint="eastAsia"/>
        </w:rPr>
        <w:t>涉金属矿产开发环境污染分区风险评估及防控的工作程序、工作准备、风险识别、风险量化、风险分级、风险表达、风险防控目标与策略制定等内容和要求。</w:t>
      </w:r>
    </w:p>
    <w:bookmarkEnd w:id="24"/>
    <w:p w14:paraId="6A3096C2">
      <w:pPr>
        <w:pStyle w:val="46"/>
      </w:pPr>
      <w:r>
        <w:rPr>
          <w:rFonts w:hint="eastAsia"/>
        </w:rPr>
        <w:t>本文件主要适用于</w:t>
      </w:r>
      <w:bookmarkStart w:id="25" w:name="_Hlk193187386"/>
      <w:r>
        <w:rPr>
          <w:rFonts w:hint="eastAsia"/>
        </w:rPr>
        <w:t>涉金属矿产开采活动结束后</w:t>
      </w:r>
      <w:bookmarkEnd w:id="25"/>
      <w:r>
        <w:rPr>
          <w:rFonts w:hint="eastAsia"/>
        </w:rPr>
        <w:t>的分区风险评估及防控技术工作，开采过程中环境污染风险评估及防控工作可参照执行。</w:t>
      </w:r>
    </w:p>
    <w:bookmarkEnd w:id="23"/>
    <w:p w14:paraId="65147B8C">
      <w:pPr>
        <w:pStyle w:val="3"/>
        <w:widowControl/>
        <w:spacing w:before="120" w:after="156" w:afterLines="50" w:line="360" w:lineRule="auto"/>
        <w:ind w:left="227" w:hanging="227"/>
        <w:jc w:val="left"/>
        <w:rPr>
          <w:rFonts w:hint="eastAsia" w:ascii="黑体" w:hAnsi="黑体" w:eastAsia="黑体"/>
          <w:b w:val="0"/>
          <w:kern w:val="0"/>
          <w:sz w:val="21"/>
          <w:szCs w:val="21"/>
        </w:rPr>
      </w:pPr>
      <w:bookmarkStart w:id="26" w:name="_Toc6282"/>
      <w:bookmarkStart w:id="27" w:name="_Toc24680_WPSOffice_Level1"/>
      <w:bookmarkStart w:id="28" w:name="_Toc194588984"/>
      <w:bookmarkStart w:id="29" w:name="_Hlk185100805"/>
      <w:r>
        <w:rPr>
          <w:rFonts w:hint="eastAsia" w:ascii="黑体" w:hAnsi="黑体" w:eastAsia="黑体"/>
          <w:b w:val="0"/>
          <w:kern w:val="0"/>
          <w:sz w:val="21"/>
          <w:szCs w:val="21"/>
        </w:rPr>
        <w:t xml:space="preserve">2 </w:t>
      </w:r>
      <w:r>
        <w:rPr>
          <w:rFonts w:ascii="黑体" w:hAnsi="黑体" w:eastAsia="黑体"/>
          <w:b w:val="0"/>
          <w:kern w:val="0"/>
          <w:sz w:val="21"/>
          <w:szCs w:val="21"/>
        </w:rPr>
        <w:t>规范性引用文件</w:t>
      </w:r>
      <w:bookmarkEnd w:id="26"/>
      <w:bookmarkEnd w:id="27"/>
      <w:bookmarkEnd w:id="28"/>
    </w:p>
    <w:bookmarkEnd w:id="29"/>
    <w:p w14:paraId="5DD4995A">
      <w:pPr>
        <w:ind w:firstLine="420" w:firstLineChars="200"/>
        <w:rPr>
          <w:rFonts w:ascii="Times New Roman" w:hAnsi="Times New Roman" w:eastAsia="宋体"/>
          <w:szCs w:val="21"/>
        </w:rPr>
      </w:pPr>
      <w:r>
        <w:rPr>
          <w:rFonts w:hint="eastAsia" w:ascii="Times New Roman" w:hAnsi="Times New Roman" w:eastAsia="宋体"/>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00BF653">
      <w:pPr>
        <w:pStyle w:val="46"/>
      </w:pPr>
      <w:r>
        <w:rPr>
          <w:rFonts w:hint="eastAsia"/>
        </w:rPr>
        <w:t>GB 3838 地表水环境质量标准</w:t>
      </w:r>
    </w:p>
    <w:p w14:paraId="25F5A5D2">
      <w:pPr>
        <w:pStyle w:val="46"/>
      </w:pPr>
      <w:r>
        <w:rPr>
          <w:rFonts w:hint="eastAsia"/>
        </w:rPr>
        <w:t>GB/T 14848 地下水质量标准</w:t>
      </w:r>
    </w:p>
    <w:p w14:paraId="5BE730B2">
      <w:pPr>
        <w:pStyle w:val="46"/>
      </w:pPr>
      <w:r>
        <w:rPr>
          <w:rFonts w:hint="eastAsia"/>
        </w:rPr>
        <w:t>GB 15618 土壤环境质量 农用地土壤污染风险管控标准（试行）</w:t>
      </w:r>
    </w:p>
    <w:p w14:paraId="4F43FA79">
      <w:pPr>
        <w:pStyle w:val="46"/>
      </w:pPr>
      <w:r>
        <w:rPr>
          <w:rFonts w:hint="eastAsia"/>
        </w:rPr>
        <w:t>HJ</w:t>
      </w:r>
      <w:r>
        <w:t xml:space="preserve"> </w:t>
      </w:r>
      <w:r>
        <w:rPr>
          <w:rFonts w:hint="eastAsia"/>
        </w:rPr>
        <w:t>91.2 地表水环境质量监测技术规范</w:t>
      </w:r>
    </w:p>
    <w:p w14:paraId="7DECDDAD">
      <w:pPr>
        <w:pStyle w:val="46"/>
      </w:pPr>
      <w:r>
        <w:rPr>
          <w:rFonts w:hint="eastAsia"/>
        </w:rPr>
        <w:t>HJ 740 尾矿库环境风险评估技术导则（试行）</w:t>
      </w:r>
    </w:p>
    <w:p w14:paraId="0301415E">
      <w:pPr>
        <w:pStyle w:val="46"/>
      </w:pPr>
      <w:r>
        <w:rPr>
          <w:rFonts w:hint="eastAsia"/>
        </w:rPr>
        <w:t>TD/T</w:t>
      </w:r>
      <w:r>
        <w:t xml:space="preserve"> </w:t>
      </w:r>
      <w:r>
        <w:rPr>
          <w:rFonts w:hint="eastAsia"/>
        </w:rPr>
        <w:t>1070.3</w:t>
      </w:r>
      <w:r>
        <w:t xml:space="preserve"> </w:t>
      </w:r>
      <w:r>
        <w:rPr>
          <w:rFonts w:hint="eastAsia"/>
        </w:rPr>
        <w:t>矿山生态修复技术规范</w:t>
      </w:r>
      <w:r>
        <w:t xml:space="preserve"> </w:t>
      </w:r>
      <w:r>
        <w:rPr>
          <w:rFonts w:hint="eastAsia"/>
        </w:rPr>
        <w:t>第3部分：金属矿山</w:t>
      </w:r>
    </w:p>
    <w:p w14:paraId="62356F04">
      <w:pPr>
        <w:pStyle w:val="3"/>
        <w:widowControl/>
        <w:spacing w:before="120" w:after="156" w:afterLines="50" w:line="360" w:lineRule="auto"/>
        <w:ind w:left="227" w:hanging="227"/>
        <w:jc w:val="left"/>
        <w:rPr>
          <w:rFonts w:hint="eastAsia" w:ascii="黑体" w:hAnsi="黑体" w:eastAsia="黑体"/>
          <w:b w:val="0"/>
          <w:kern w:val="0"/>
          <w:sz w:val="21"/>
          <w:szCs w:val="21"/>
        </w:rPr>
      </w:pPr>
      <w:bookmarkStart w:id="30" w:name="_Toc395187805"/>
      <w:bookmarkStart w:id="31" w:name="_Toc24538_WPSOffice_Level1"/>
      <w:bookmarkStart w:id="32" w:name="_Toc1303"/>
      <w:bookmarkStart w:id="33" w:name="_Toc194588985"/>
      <w:bookmarkStart w:id="34" w:name="_Hlk185100911"/>
      <w:r>
        <w:rPr>
          <w:rFonts w:hint="eastAsia" w:ascii="黑体" w:hAnsi="黑体" w:eastAsia="黑体"/>
          <w:b w:val="0"/>
          <w:kern w:val="0"/>
          <w:sz w:val="21"/>
          <w:szCs w:val="21"/>
        </w:rPr>
        <w:t xml:space="preserve">3 </w:t>
      </w:r>
      <w:r>
        <w:rPr>
          <w:rFonts w:ascii="黑体" w:hAnsi="黑体" w:eastAsia="黑体"/>
          <w:b w:val="0"/>
          <w:kern w:val="0"/>
          <w:sz w:val="21"/>
          <w:szCs w:val="21"/>
        </w:rPr>
        <w:t>术语和定义</w:t>
      </w:r>
      <w:bookmarkEnd w:id="30"/>
      <w:bookmarkEnd w:id="31"/>
      <w:bookmarkEnd w:id="32"/>
      <w:bookmarkEnd w:id="33"/>
    </w:p>
    <w:bookmarkEnd w:id="34"/>
    <w:p w14:paraId="36F0CB51">
      <w:pPr>
        <w:ind w:firstLine="420" w:firstLineChars="200"/>
        <w:rPr>
          <w:rFonts w:hint="eastAsia" w:ascii="宋体" w:hAnsi="宋体" w:eastAsia="宋体"/>
          <w:szCs w:val="21"/>
        </w:rPr>
      </w:pPr>
      <w:r>
        <w:rPr>
          <w:rFonts w:hint="eastAsia" w:ascii="宋体" w:hAnsi="宋体" w:eastAsia="宋体"/>
        </w:rPr>
        <w:t>HJ</w:t>
      </w:r>
      <w:r>
        <w:rPr>
          <w:rFonts w:ascii="宋体" w:hAnsi="宋体" w:eastAsia="宋体"/>
        </w:rPr>
        <w:t xml:space="preserve"> </w:t>
      </w:r>
      <w:r>
        <w:rPr>
          <w:rFonts w:hint="eastAsia" w:ascii="宋体" w:hAnsi="宋体" w:eastAsia="宋体"/>
        </w:rPr>
        <w:t>91.2和</w:t>
      </w:r>
      <w:r>
        <w:rPr>
          <w:rFonts w:hint="eastAsia" w:ascii="宋体" w:hAnsi="宋体" w:eastAsia="宋体"/>
          <w:szCs w:val="21"/>
        </w:rPr>
        <w:t>HJ</w:t>
      </w:r>
      <w:r>
        <w:rPr>
          <w:rFonts w:ascii="宋体" w:hAnsi="宋体" w:eastAsia="宋体"/>
          <w:szCs w:val="21"/>
        </w:rPr>
        <w:t xml:space="preserve"> </w:t>
      </w:r>
      <w:r>
        <w:rPr>
          <w:rFonts w:hint="eastAsia" w:ascii="宋体" w:hAnsi="宋体" w:eastAsia="宋体"/>
          <w:szCs w:val="21"/>
        </w:rPr>
        <w:t>740</w:t>
      </w:r>
      <w:r>
        <w:rPr>
          <w:rFonts w:hint="eastAsia" w:ascii="宋体" w:hAnsi="宋体" w:eastAsia="宋体"/>
        </w:rPr>
        <w:t>界定的以及</w:t>
      </w:r>
      <w:r>
        <w:rPr>
          <w:rFonts w:ascii="宋体" w:hAnsi="宋体" w:eastAsia="宋体"/>
          <w:szCs w:val="21"/>
        </w:rPr>
        <w:t>下列术语和定义适用于本文件。</w:t>
      </w:r>
    </w:p>
    <w:p w14:paraId="4EB4AB41">
      <w:pPr>
        <w:spacing w:before="156" w:beforeLines="50" w:after="156" w:afterLines="50"/>
        <w:rPr>
          <w:rFonts w:hint="eastAsia" w:ascii="黑体" w:hAnsi="黑体" w:eastAsia="黑体"/>
          <w:szCs w:val="21"/>
        </w:rPr>
      </w:pPr>
      <w:r>
        <w:rPr>
          <w:rFonts w:hint="eastAsia" w:ascii="黑体" w:hAnsi="黑体" w:eastAsia="黑体"/>
          <w:szCs w:val="21"/>
        </w:rPr>
        <w:t>3.1</w:t>
      </w:r>
    </w:p>
    <w:p w14:paraId="041ACBBC">
      <w:pPr>
        <w:ind w:firstLine="420" w:firstLineChars="200"/>
        <w:rPr>
          <w:rFonts w:hint="eastAsia" w:ascii="黑体" w:hAnsi="黑体" w:eastAsia="黑体"/>
        </w:rPr>
      </w:pPr>
      <w:r>
        <w:rPr>
          <w:rFonts w:hint="eastAsia" w:ascii="黑体" w:hAnsi="黑体" w:eastAsia="黑体"/>
        </w:rPr>
        <w:t>风险防控区 risk prevention and control zone</w:t>
      </w:r>
    </w:p>
    <w:p w14:paraId="1306AD16">
      <w:pPr>
        <w:ind w:firstLine="420" w:firstLineChars="200"/>
        <w:rPr>
          <w:rFonts w:ascii="Times New Roman" w:hAnsi="Times New Roman" w:eastAsia="宋体"/>
          <w:szCs w:val="21"/>
        </w:rPr>
      </w:pPr>
      <w:r>
        <w:rPr>
          <w:rFonts w:hint="eastAsia" w:ascii="Times New Roman" w:hAnsi="Times New Roman" w:eastAsia="宋体"/>
          <w:szCs w:val="21"/>
        </w:rPr>
        <w:t>以涉金属矿山为核心，结合其周边受污染物扩散潜在影响的辐射范围共同划定的环境污染防治地理单元。</w:t>
      </w:r>
    </w:p>
    <w:p w14:paraId="022AEAE8">
      <w:pPr>
        <w:spacing w:before="156" w:beforeLines="50" w:after="156" w:afterLines="50"/>
        <w:rPr>
          <w:rFonts w:hint="eastAsia" w:ascii="黑体" w:hAnsi="黑体" w:eastAsia="黑体"/>
          <w:szCs w:val="21"/>
        </w:rPr>
      </w:pPr>
      <w:bookmarkStart w:id="35" w:name="_Toc4187_WPSOffice_Level2"/>
      <w:r>
        <w:rPr>
          <w:rFonts w:hint="eastAsia" w:ascii="黑体" w:hAnsi="黑体" w:eastAsia="黑体"/>
          <w:szCs w:val="21"/>
        </w:rPr>
        <w:t>3.2</w:t>
      </w:r>
    </w:p>
    <w:p w14:paraId="43826574">
      <w:pPr>
        <w:ind w:firstLine="420" w:firstLineChars="200"/>
        <w:rPr>
          <w:rFonts w:hint="eastAsia" w:ascii="黑体" w:hAnsi="黑体" w:eastAsia="黑体"/>
        </w:rPr>
      </w:pPr>
      <w:r>
        <w:rPr>
          <w:rFonts w:hint="eastAsia" w:ascii="黑体" w:hAnsi="黑体" w:eastAsia="黑体"/>
        </w:rPr>
        <w:t>污染风险单元 risk unit</w:t>
      </w:r>
    </w:p>
    <w:p w14:paraId="7C7ADC32">
      <w:pPr>
        <w:ind w:firstLine="420" w:firstLineChars="200"/>
        <w:rPr>
          <w:rFonts w:ascii="Times New Roman" w:hAnsi="Times New Roman" w:eastAsia="宋体"/>
          <w:szCs w:val="21"/>
        </w:rPr>
      </w:pPr>
      <w:r>
        <w:rPr>
          <w:rFonts w:hint="eastAsia" w:ascii="Times New Roman" w:hAnsi="Times New Roman" w:eastAsia="宋体"/>
          <w:szCs w:val="21"/>
        </w:rPr>
        <w:t>在风险防控区范围内，以独立水文单元为基础划定的环境风险评估及防控基本单位，应同时包含污染源、迁移路径及风险受体三要素。</w:t>
      </w:r>
    </w:p>
    <w:p w14:paraId="2F106A22">
      <w:pPr>
        <w:spacing w:before="156" w:beforeLines="50" w:after="156" w:afterLines="50"/>
        <w:rPr>
          <w:rFonts w:hint="eastAsia" w:ascii="黑体" w:hAnsi="黑体" w:eastAsia="黑体"/>
          <w:szCs w:val="21"/>
        </w:rPr>
      </w:pPr>
      <w:r>
        <w:rPr>
          <w:rFonts w:hint="eastAsia" w:ascii="黑体" w:hAnsi="黑体" w:eastAsia="黑体"/>
          <w:szCs w:val="21"/>
        </w:rPr>
        <w:t>3.3</w:t>
      </w:r>
    </w:p>
    <w:p w14:paraId="23C45BD7">
      <w:pPr>
        <w:ind w:firstLine="420" w:firstLineChars="200"/>
        <w:rPr>
          <w:rFonts w:hint="eastAsia" w:ascii="黑体" w:hAnsi="黑体" w:eastAsia="黑体"/>
        </w:rPr>
      </w:pPr>
      <w:bookmarkStart w:id="36" w:name="_Hlk182946457"/>
      <w:r>
        <w:rPr>
          <w:rFonts w:hint="eastAsia" w:ascii="黑体" w:hAnsi="黑体" w:eastAsia="黑体"/>
        </w:rPr>
        <w:t>风险控制断面</w:t>
      </w:r>
      <w:bookmarkEnd w:id="36"/>
      <w:r>
        <w:rPr>
          <w:rFonts w:hint="eastAsia" w:ascii="黑体" w:hAnsi="黑体" w:eastAsia="黑体"/>
        </w:rPr>
        <w:t xml:space="preserve"> risk</w:t>
      </w:r>
      <w:r>
        <w:rPr>
          <w:rFonts w:ascii="黑体" w:hAnsi="黑体" w:eastAsia="黑体"/>
        </w:rPr>
        <w:t xml:space="preserve"> </w:t>
      </w:r>
      <w:r>
        <w:rPr>
          <w:rFonts w:hint="eastAsia" w:ascii="黑体" w:hAnsi="黑体" w:eastAsia="黑体"/>
        </w:rPr>
        <w:t>cross</w:t>
      </w:r>
      <w:r>
        <w:rPr>
          <w:rFonts w:ascii="黑体" w:hAnsi="黑体" w:eastAsia="黑体"/>
        </w:rPr>
        <w:t>-section</w:t>
      </w:r>
    </w:p>
    <w:p w14:paraId="3F041781">
      <w:pPr>
        <w:ind w:firstLine="420" w:firstLineChars="200"/>
        <w:rPr>
          <w:rFonts w:ascii="Times New Roman" w:hAnsi="Times New Roman" w:eastAsia="宋体"/>
          <w:szCs w:val="21"/>
        </w:rPr>
      </w:pPr>
      <w:r>
        <w:rPr>
          <w:rFonts w:hint="eastAsia" w:ascii="宋体" w:hAnsi="宋体" w:eastAsia="宋体"/>
          <w:szCs w:val="21"/>
        </w:rPr>
        <w:t>指在污染风险单元水文出口处设置的监测断面，用于</w:t>
      </w:r>
      <w:r>
        <w:rPr>
          <w:rFonts w:hint="eastAsia" w:ascii="Times New Roman" w:hAnsi="Times New Roman" w:eastAsia="宋体"/>
          <w:szCs w:val="21"/>
        </w:rPr>
        <w:t>反映这一</w:t>
      </w:r>
      <w:r>
        <w:rPr>
          <w:rFonts w:hint="eastAsia" w:ascii="宋体" w:hAnsi="宋体" w:eastAsia="宋体"/>
          <w:szCs w:val="21"/>
        </w:rPr>
        <w:t>污染风险单元水环境受污染程度及变化情况。</w:t>
      </w:r>
    </w:p>
    <w:p w14:paraId="644AF6A8">
      <w:pPr>
        <w:spacing w:before="156" w:beforeLines="50" w:after="156" w:afterLines="50"/>
        <w:rPr>
          <w:rFonts w:hint="eastAsia" w:ascii="黑体" w:hAnsi="黑体" w:eastAsia="黑体"/>
          <w:szCs w:val="21"/>
        </w:rPr>
      </w:pPr>
      <w:r>
        <w:rPr>
          <w:rFonts w:hint="eastAsia" w:ascii="黑体" w:hAnsi="黑体" w:eastAsia="黑体"/>
          <w:szCs w:val="21"/>
        </w:rPr>
        <w:t>3.4</w:t>
      </w:r>
    </w:p>
    <w:p w14:paraId="2AE576C8">
      <w:pPr>
        <w:ind w:firstLine="420" w:firstLineChars="200"/>
        <w:rPr>
          <w:rFonts w:hint="eastAsia" w:ascii="黑体" w:hAnsi="黑体" w:eastAsia="黑体"/>
        </w:rPr>
      </w:pPr>
      <w:bookmarkStart w:id="37" w:name="_Hlk182946469"/>
      <w:r>
        <w:rPr>
          <w:rFonts w:hint="eastAsia" w:ascii="黑体" w:hAnsi="黑体" w:eastAsia="黑体"/>
        </w:rPr>
        <w:t>质量控制断面</w:t>
      </w:r>
      <w:bookmarkEnd w:id="37"/>
      <w:r>
        <w:rPr>
          <w:rFonts w:hint="eastAsia" w:ascii="黑体" w:hAnsi="黑体" w:eastAsia="黑体"/>
        </w:rPr>
        <w:t xml:space="preserve"> quality</w:t>
      </w:r>
      <w:r>
        <w:rPr>
          <w:rFonts w:ascii="黑体" w:hAnsi="黑体" w:eastAsia="黑体"/>
        </w:rPr>
        <w:t xml:space="preserve"> </w:t>
      </w:r>
      <w:r>
        <w:rPr>
          <w:rFonts w:hint="eastAsia" w:ascii="黑体" w:hAnsi="黑体" w:eastAsia="黑体"/>
        </w:rPr>
        <w:t>cross</w:t>
      </w:r>
      <w:r>
        <w:rPr>
          <w:rFonts w:ascii="黑体" w:hAnsi="黑体" w:eastAsia="黑体"/>
        </w:rPr>
        <w:t>-section</w:t>
      </w:r>
    </w:p>
    <w:p w14:paraId="400A91C6">
      <w:pPr>
        <w:pStyle w:val="46"/>
        <w:rPr>
          <w:rFonts w:hint="eastAsia" w:hAnsi="宋体"/>
          <w:szCs w:val="21"/>
        </w:rPr>
      </w:pPr>
      <w:r>
        <w:rPr>
          <w:rFonts w:hint="eastAsia" w:hAnsi="宋体"/>
          <w:szCs w:val="21"/>
        </w:rPr>
        <w:t>指在污染风险防控区</w:t>
      </w:r>
      <w:r>
        <w:rPr>
          <w:rFonts w:hint="eastAsia" w:hAnsi="宋体"/>
        </w:rPr>
        <w:t>水文</w:t>
      </w:r>
      <w:r>
        <w:rPr>
          <w:rFonts w:hint="eastAsia" w:hAnsi="宋体"/>
          <w:szCs w:val="21"/>
        </w:rPr>
        <w:t>出口处设置的监测断面，用于</w:t>
      </w:r>
      <w:r>
        <w:rPr>
          <w:rFonts w:hint="eastAsia" w:ascii="Times New Roman"/>
          <w:szCs w:val="21"/>
        </w:rPr>
        <w:t>反映</w:t>
      </w:r>
      <w:r>
        <w:rPr>
          <w:rFonts w:hint="eastAsia" w:hAnsi="宋体"/>
          <w:szCs w:val="21"/>
        </w:rPr>
        <w:t>地表水体</w:t>
      </w:r>
      <w:r>
        <w:rPr>
          <w:rFonts w:hint="eastAsia" w:hAnsi="宋体"/>
        </w:rPr>
        <w:t>水质达标情况。</w:t>
      </w:r>
    </w:p>
    <w:p w14:paraId="70873ED4">
      <w:pPr>
        <w:spacing w:before="156" w:beforeLines="50" w:after="156" w:afterLines="50"/>
        <w:rPr>
          <w:rFonts w:hint="eastAsia" w:ascii="黑体" w:hAnsi="黑体" w:eastAsia="黑体"/>
          <w:szCs w:val="21"/>
        </w:rPr>
      </w:pPr>
      <w:r>
        <w:rPr>
          <w:rFonts w:hint="eastAsia" w:ascii="黑体" w:hAnsi="黑体" w:eastAsia="黑体"/>
          <w:szCs w:val="21"/>
        </w:rPr>
        <w:t>3.5</w:t>
      </w:r>
    </w:p>
    <w:p w14:paraId="0F824C6C">
      <w:pPr>
        <w:ind w:firstLine="420" w:firstLineChars="200"/>
        <w:rPr>
          <w:rFonts w:hint="eastAsia" w:ascii="黑体" w:hAnsi="黑体" w:eastAsia="黑体"/>
        </w:rPr>
      </w:pPr>
      <w:r>
        <w:rPr>
          <w:rFonts w:hint="eastAsia" w:ascii="黑体" w:hAnsi="黑体" w:eastAsia="黑体"/>
        </w:rPr>
        <w:t>风险源危害性 risk source hazardousness</w:t>
      </w:r>
    </w:p>
    <w:p w14:paraId="14BA7306">
      <w:pPr>
        <w:pStyle w:val="46"/>
        <w:rPr>
          <w:rFonts w:hint="eastAsia" w:hAnsi="宋体"/>
        </w:rPr>
      </w:pPr>
      <w:r>
        <w:rPr>
          <w:rFonts w:hint="eastAsia" w:hAnsi="宋体"/>
        </w:rPr>
        <w:t>指矿山环境风险源所含污染物对周边环境的危害程度。</w:t>
      </w:r>
    </w:p>
    <w:p w14:paraId="4FDB71F7">
      <w:pPr>
        <w:spacing w:before="156" w:beforeLines="50" w:after="156" w:afterLines="50"/>
        <w:rPr>
          <w:rFonts w:hint="eastAsia" w:ascii="黑体" w:hAnsi="黑体" w:eastAsia="黑体"/>
          <w:szCs w:val="21"/>
        </w:rPr>
      </w:pPr>
      <w:r>
        <w:rPr>
          <w:rFonts w:hint="eastAsia" w:ascii="黑体" w:hAnsi="黑体" w:eastAsia="黑体"/>
          <w:szCs w:val="21"/>
        </w:rPr>
        <w:t>3.6</w:t>
      </w:r>
    </w:p>
    <w:p w14:paraId="30AFE0D4">
      <w:pPr>
        <w:ind w:firstLine="420" w:firstLineChars="200"/>
        <w:rPr>
          <w:rFonts w:hint="eastAsia" w:ascii="黑体" w:hAnsi="黑体" w:eastAsia="黑体"/>
        </w:rPr>
      </w:pPr>
      <w:r>
        <w:rPr>
          <w:rFonts w:hint="eastAsia" w:ascii="黑体" w:hAnsi="黑体" w:eastAsia="黑体"/>
        </w:rPr>
        <w:t>污染物迁移性 pollution migration</w:t>
      </w:r>
    </w:p>
    <w:p w14:paraId="66510585">
      <w:pPr>
        <w:pStyle w:val="46"/>
        <w:rPr>
          <w:rFonts w:hint="eastAsia" w:hAnsi="宋体"/>
        </w:rPr>
      </w:pPr>
      <w:r>
        <w:rPr>
          <w:rFonts w:hAnsi="宋体"/>
        </w:rPr>
        <w:t>指矿山</w:t>
      </w:r>
      <w:r>
        <w:rPr>
          <w:rFonts w:hint="eastAsia" w:hAnsi="宋体"/>
        </w:rPr>
        <w:t>环境风险源</w:t>
      </w:r>
      <w:r>
        <w:rPr>
          <w:rFonts w:hAnsi="宋体"/>
        </w:rPr>
        <w:t>释放的污染物</w:t>
      </w:r>
      <w:r>
        <w:rPr>
          <w:rFonts w:hint="eastAsia" w:hAnsi="宋体"/>
        </w:rPr>
        <w:t>向周边环境迁移</w:t>
      </w:r>
      <w:r>
        <w:rPr>
          <w:rFonts w:hAnsi="宋体"/>
        </w:rPr>
        <w:t>扩散</w:t>
      </w:r>
      <w:r>
        <w:rPr>
          <w:rFonts w:hint="eastAsia" w:hAnsi="宋体"/>
        </w:rPr>
        <w:t>的</w:t>
      </w:r>
      <w:r>
        <w:rPr>
          <w:rFonts w:hAnsi="宋体"/>
        </w:rPr>
        <w:t>强度</w:t>
      </w:r>
      <w:r>
        <w:rPr>
          <w:rFonts w:hint="eastAsia" w:hAnsi="宋体"/>
        </w:rPr>
        <w:t>。</w:t>
      </w:r>
    </w:p>
    <w:p w14:paraId="4D4DBDB8">
      <w:pPr>
        <w:spacing w:before="156" w:beforeLines="50" w:after="156" w:afterLines="50"/>
        <w:rPr>
          <w:rFonts w:hint="eastAsia" w:ascii="黑体" w:hAnsi="黑体" w:eastAsia="黑体"/>
          <w:szCs w:val="21"/>
        </w:rPr>
      </w:pPr>
      <w:r>
        <w:rPr>
          <w:rFonts w:hint="eastAsia" w:ascii="黑体" w:hAnsi="黑体" w:eastAsia="黑体"/>
          <w:szCs w:val="21"/>
        </w:rPr>
        <w:t>3.7</w:t>
      </w:r>
    </w:p>
    <w:p w14:paraId="3A742618">
      <w:pPr>
        <w:ind w:firstLine="420" w:firstLineChars="200"/>
        <w:rPr>
          <w:rFonts w:hint="eastAsia" w:ascii="黑体" w:hAnsi="黑体" w:eastAsia="黑体"/>
        </w:rPr>
      </w:pPr>
      <w:r>
        <w:rPr>
          <w:rFonts w:hint="eastAsia" w:ascii="黑体" w:hAnsi="黑体" w:eastAsia="黑体"/>
        </w:rPr>
        <w:t>环境敏感性 environmental sensitivity</w:t>
      </w:r>
    </w:p>
    <w:p w14:paraId="14E62FED">
      <w:pPr>
        <w:pStyle w:val="46"/>
        <w:rPr>
          <w:rFonts w:hint="eastAsia" w:hAnsi="宋体"/>
        </w:rPr>
      </w:pPr>
      <w:r>
        <w:rPr>
          <w:rFonts w:hint="eastAsia" w:hAnsi="宋体"/>
        </w:rPr>
        <w:t>指矿山环境风险源周边各类环境风险受体、环境要素的敏感程度。</w:t>
      </w:r>
    </w:p>
    <w:bookmarkEnd w:id="35"/>
    <w:p w14:paraId="08AA70F6">
      <w:pPr>
        <w:pStyle w:val="3"/>
        <w:widowControl/>
        <w:spacing w:before="120" w:after="156" w:afterLines="50" w:line="360" w:lineRule="auto"/>
        <w:ind w:left="227" w:hanging="227"/>
        <w:jc w:val="left"/>
        <w:rPr>
          <w:rFonts w:hint="eastAsia" w:ascii="黑体" w:hAnsi="黑体" w:eastAsia="黑体"/>
          <w:b w:val="0"/>
          <w:kern w:val="0"/>
          <w:sz w:val="21"/>
          <w:szCs w:val="21"/>
        </w:rPr>
      </w:pPr>
      <w:bookmarkStart w:id="38" w:name="_Toc194588986"/>
      <w:bookmarkStart w:id="39" w:name="_Toc164019518"/>
      <w:r>
        <w:rPr>
          <w:rFonts w:hint="eastAsia" w:ascii="黑体" w:hAnsi="黑体" w:eastAsia="黑体"/>
          <w:b w:val="0"/>
          <w:kern w:val="0"/>
          <w:sz w:val="21"/>
          <w:szCs w:val="21"/>
        </w:rPr>
        <w:t>4工作程序</w:t>
      </w:r>
      <w:bookmarkEnd w:id="38"/>
    </w:p>
    <w:bookmarkEnd w:id="39"/>
    <w:p w14:paraId="0DBC5321">
      <w:pPr>
        <w:ind w:firstLine="420" w:firstLineChars="200"/>
        <w:rPr>
          <w:rFonts w:ascii="Times New Roman" w:hAnsi="Times New Roman" w:eastAsia="宋体"/>
          <w:szCs w:val="21"/>
        </w:rPr>
      </w:pPr>
      <w:bookmarkStart w:id="40" w:name="_Toc164019523"/>
      <w:bookmarkStart w:id="41" w:name="_Toc23054_WPSOffice_Level2"/>
      <w:r>
        <w:rPr>
          <w:rFonts w:hint="eastAsia" w:ascii="Times New Roman" w:hAnsi="Times New Roman" w:eastAsia="宋体"/>
          <w:szCs w:val="21"/>
        </w:rPr>
        <w:t>涉金属矿产开发环境污染分区风险评估及防控工作程序（</w:t>
      </w:r>
      <w:r>
        <w:rPr>
          <w:rFonts w:ascii="Times New Roman" w:hAnsi="Times New Roman" w:eastAsia="宋体"/>
          <w:szCs w:val="21"/>
        </w:rPr>
        <w:t>见图 1</w:t>
      </w:r>
      <w:r>
        <w:rPr>
          <w:rFonts w:hint="eastAsia" w:ascii="Times New Roman" w:hAnsi="Times New Roman" w:eastAsia="宋体"/>
          <w:szCs w:val="21"/>
        </w:rPr>
        <w:t>），由</w:t>
      </w:r>
      <w:r>
        <w:rPr>
          <w:rFonts w:ascii="Times New Roman" w:hAnsi="Times New Roman" w:eastAsia="宋体"/>
          <w:szCs w:val="21"/>
        </w:rPr>
        <w:t>工作准备阶段（含信息收集与分析、风险评估单元划分）、风险评估阶段（含风险识别、风险量化、风险分级、风险表达）、防控策略制定阶段、报告编制阶段等4个阶段</w:t>
      </w:r>
      <w:r>
        <w:rPr>
          <w:rFonts w:hint="eastAsia" w:ascii="Times New Roman" w:hAnsi="Times New Roman" w:eastAsia="宋体"/>
          <w:szCs w:val="21"/>
        </w:rPr>
        <w:t>组成。</w:t>
      </w:r>
    </w:p>
    <w:p w14:paraId="0CCDD097">
      <w:pPr>
        <w:jc w:val="center"/>
        <w:rPr>
          <w:rStyle w:val="90"/>
        </w:rPr>
      </w:pPr>
      <w:r>
        <w:rPr>
          <w:rStyle w:val="90"/>
        </w:rPr>
        <w:drawing>
          <wp:inline distT="0" distB="0" distL="0" distR="0">
            <wp:extent cx="4931410" cy="8299450"/>
            <wp:effectExtent l="0" t="0" r="2540" b="6350"/>
            <wp:docPr id="65840739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407392"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t="1838" b="1823"/>
                    <a:stretch>
                      <a:fillRect/>
                    </a:stretch>
                  </pic:blipFill>
                  <pic:spPr>
                    <a:xfrm>
                      <a:off x="0" y="0"/>
                      <a:ext cx="4932000" cy="8299491"/>
                    </a:xfrm>
                    <a:prstGeom prst="rect">
                      <a:avLst/>
                    </a:prstGeom>
                    <a:noFill/>
                    <a:ln>
                      <a:noFill/>
                    </a:ln>
                  </pic:spPr>
                </pic:pic>
              </a:graphicData>
            </a:graphic>
          </wp:inline>
        </w:drawing>
      </w:r>
    </w:p>
    <w:p w14:paraId="4EC7DBCA">
      <w:pPr>
        <w:pStyle w:val="84"/>
        <w:spacing w:line="240" w:lineRule="auto"/>
        <w:ind w:firstLine="0" w:firstLineChars="0"/>
        <w:jc w:val="center"/>
        <w:rPr>
          <w:rFonts w:hint="eastAsia" w:ascii="黑体" w:hAnsi="黑体" w:eastAsia="黑体"/>
          <w:sz w:val="21"/>
        </w:rPr>
      </w:pPr>
      <w:r>
        <w:rPr>
          <w:color w:val="FF0000"/>
        </w:rPr>
        <w:t xml:space="preserve"> </w:t>
      </w:r>
      <w:r>
        <w:rPr>
          <w:rFonts w:hint="eastAsia" w:ascii="黑体" w:hAnsi="黑体" w:eastAsia="黑体"/>
          <w:sz w:val="21"/>
        </w:rPr>
        <w:t>图1 涉金属矿山环境污染分区风险评估及防控工作程序</w:t>
      </w:r>
    </w:p>
    <w:p w14:paraId="6447B14B">
      <w:pPr>
        <w:pStyle w:val="3"/>
        <w:widowControl/>
        <w:spacing w:before="120" w:after="156" w:afterLines="50" w:line="360" w:lineRule="auto"/>
        <w:ind w:left="227" w:hanging="227"/>
        <w:jc w:val="left"/>
        <w:rPr>
          <w:rFonts w:hint="eastAsia" w:ascii="黑体" w:hAnsi="黑体" w:eastAsia="黑体"/>
          <w:b w:val="0"/>
          <w:kern w:val="0"/>
          <w:sz w:val="21"/>
          <w:szCs w:val="21"/>
        </w:rPr>
      </w:pPr>
      <w:bookmarkStart w:id="42" w:name="_Toc194588987"/>
      <w:r>
        <w:rPr>
          <w:rFonts w:hint="eastAsia" w:ascii="黑体" w:hAnsi="黑体" w:eastAsia="黑体"/>
          <w:b w:val="0"/>
          <w:kern w:val="0"/>
          <w:sz w:val="21"/>
          <w:szCs w:val="21"/>
        </w:rPr>
        <w:t>5 工作准备</w:t>
      </w:r>
      <w:bookmarkEnd w:id="42"/>
    </w:p>
    <w:p w14:paraId="2D696D14">
      <w:pPr>
        <w:pStyle w:val="66"/>
        <w:spacing w:before="156" w:after="156"/>
      </w:pPr>
      <w:bookmarkStart w:id="43" w:name="_Toc182575434"/>
      <w:bookmarkStart w:id="44" w:name="_Toc181892250"/>
      <w:bookmarkStart w:id="45" w:name="_Toc181892413"/>
      <w:bookmarkStart w:id="46" w:name="_Toc183542806"/>
      <w:bookmarkStart w:id="47" w:name="_Toc193268219"/>
      <w:bookmarkStart w:id="48" w:name="_Toc193268273"/>
      <w:bookmarkStart w:id="49" w:name="_Toc185097898"/>
      <w:bookmarkStart w:id="50" w:name="_Toc193189059"/>
      <w:bookmarkStart w:id="51" w:name="_Toc194588988"/>
      <w:r>
        <w:rPr>
          <w:rFonts w:hint="eastAsia"/>
        </w:rPr>
        <w:t>5.1</w:t>
      </w:r>
      <w:bookmarkEnd w:id="43"/>
      <w:bookmarkEnd w:id="44"/>
      <w:bookmarkEnd w:id="45"/>
      <w:r>
        <w:rPr>
          <w:rFonts w:hint="eastAsia"/>
        </w:rPr>
        <w:t>信息收集与</w:t>
      </w:r>
      <w:bookmarkEnd w:id="46"/>
      <w:bookmarkEnd w:id="47"/>
      <w:bookmarkEnd w:id="48"/>
      <w:bookmarkEnd w:id="49"/>
      <w:bookmarkEnd w:id="50"/>
      <w:r>
        <w:rPr>
          <w:rFonts w:hint="eastAsia"/>
        </w:rPr>
        <w:t>分析</w:t>
      </w:r>
      <w:bookmarkEnd w:id="51"/>
    </w:p>
    <w:p w14:paraId="408A6225">
      <w:pPr>
        <w:pStyle w:val="65"/>
        <w:spacing w:before="156" w:after="156" w:line="360" w:lineRule="auto"/>
      </w:pPr>
      <w:r>
        <w:rPr>
          <w:rFonts w:hint="eastAsia"/>
        </w:rPr>
        <w:t>5.1.1 信息收集</w:t>
      </w:r>
    </w:p>
    <w:p w14:paraId="17E40308">
      <w:pPr>
        <w:pStyle w:val="70"/>
        <w:ind w:left="0"/>
      </w:pPr>
      <w:r>
        <w:rPr>
          <w:rFonts w:hint="eastAsia" w:ascii="黑体" w:hAnsi="黑体" w:eastAsia="黑体"/>
        </w:rPr>
        <w:t>5.</w:t>
      </w:r>
      <w:r>
        <w:rPr>
          <w:rFonts w:ascii="黑体" w:hAnsi="黑体" w:eastAsia="黑体"/>
        </w:rPr>
        <w:t>1.1.1</w:t>
      </w:r>
      <w:r>
        <w:rPr>
          <w:rFonts w:hint="eastAsia"/>
        </w:rPr>
        <w:t>矿山环境风险源信息：矿硐数量、分布及涌水情况，废渣堆数量、体量、分布及堆存状态等。</w:t>
      </w:r>
    </w:p>
    <w:p w14:paraId="2154F85D">
      <w:pPr>
        <w:pStyle w:val="70"/>
        <w:ind w:left="0"/>
      </w:pPr>
      <w:r>
        <w:rPr>
          <w:rFonts w:hint="eastAsia" w:ascii="黑体" w:hAnsi="黑体" w:eastAsia="黑体"/>
        </w:rPr>
        <w:t>5.</w:t>
      </w:r>
      <w:r>
        <w:rPr>
          <w:rFonts w:ascii="黑体" w:hAnsi="黑体" w:eastAsia="黑体"/>
        </w:rPr>
        <w:t>1.1.</w:t>
      </w:r>
      <w:r>
        <w:rPr>
          <w:rFonts w:hint="eastAsia" w:ascii="黑体" w:hAnsi="黑体" w:eastAsia="黑体"/>
        </w:rPr>
        <w:t>2</w:t>
      </w:r>
      <w:r>
        <w:rPr>
          <w:rFonts w:hint="eastAsia"/>
        </w:rPr>
        <w:t>风险受体信息：居住区、农用地、地表水体、水源地保护区、重要监测断面等资料。</w:t>
      </w:r>
    </w:p>
    <w:p w14:paraId="53C8D2F0">
      <w:pPr>
        <w:pStyle w:val="70"/>
        <w:ind w:left="0"/>
      </w:pPr>
      <w:r>
        <w:rPr>
          <w:rFonts w:hint="eastAsia" w:ascii="黑体" w:hAnsi="黑体" w:eastAsia="黑体"/>
        </w:rPr>
        <w:t>5.</w:t>
      </w:r>
      <w:r>
        <w:rPr>
          <w:rFonts w:ascii="黑体" w:hAnsi="黑体" w:eastAsia="黑体"/>
        </w:rPr>
        <w:t>1.1.</w:t>
      </w:r>
      <w:r>
        <w:rPr>
          <w:rFonts w:hint="eastAsia" w:ascii="黑体" w:hAnsi="黑体" w:eastAsia="黑体"/>
        </w:rPr>
        <w:t>3</w:t>
      </w:r>
      <w:r>
        <w:rPr>
          <w:rFonts w:hint="eastAsia"/>
        </w:rPr>
        <w:t>环境污染状况：矿山环境风险源周边地下水、地表水、土壤等环境介质调查监测现状与历史资料。</w:t>
      </w:r>
    </w:p>
    <w:p w14:paraId="5A512225">
      <w:pPr>
        <w:pStyle w:val="70"/>
        <w:ind w:left="0"/>
      </w:pPr>
      <w:r>
        <w:rPr>
          <w:rFonts w:hint="eastAsia" w:ascii="黑体" w:hAnsi="黑体" w:eastAsia="黑体"/>
        </w:rPr>
        <w:t>5.</w:t>
      </w:r>
      <w:r>
        <w:rPr>
          <w:rFonts w:ascii="黑体" w:hAnsi="黑体" w:eastAsia="黑体"/>
        </w:rPr>
        <w:t>1.1.</w:t>
      </w:r>
      <w:r>
        <w:rPr>
          <w:rFonts w:hint="eastAsia" w:ascii="黑体" w:hAnsi="黑体" w:eastAsia="黑体"/>
        </w:rPr>
        <w:t>4</w:t>
      </w:r>
      <w:r>
        <w:rPr>
          <w:rFonts w:hint="eastAsia"/>
        </w:rPr>
        <w:t>其他信息：地形地貌、气候、水文、地质与水文地质、用地规划、环境功能区划等资料，矿山历史开采与已实施的污染治理或生态修复措施等资料。</w:t>
      </w:r>
    </w:p>
    <w:p w14:paraId="7597C0ED">
      <w:pPr>
        <w:pStyle w:val="65"/>
        <w:spacing w:before="156" w:after="156" w:line="360" w:lineRule="auto"/>
      </w:pPr>
      <w:r>
        <w:rPr>
          <w:rFonts w:hint="eastAsia"/>
        </w:rPr>
        <w:t>5.1.2 信息分析</w:t>
      </w:r>
    </w:p>
    <w:p w14:paraId="4AF6FE00">
      <w:pPr>
        <w:ind w:firstLine="420" w:firstLineChars="200"/>
        <w:rPr>
          <w:rFonts w:ascii="Times New Roman" w:hAnsi="Times New Roman" w:eastAsia="宋体"/>
          <w:szCs w:val="21"/>
        </w:rPr>
      </w:pPr>
      <w:r>
        <w:rPr>
          <w:rFonts w:hint="eastAsia" w:ascii="Times New Roman" w:hAnsi="Times New Roman" w:eastAsia="宋体"/>
          <w:szCs w:val="21"/>
        </w:rPr>
        <w:t>基于</w:t>
      </w:r>
      <w:r>
        <w:rPr>
          <w:rFonts w:ascii="Times New Roman" w:hAnsi="Times New Roman" w:eastAsia="宋体"/>
          <w:szCs w:val="21"/>
        </w:rPr>
        <w:t>风险评估和风险防控策略制定需求分析</w:t>
      </w:r>
      <w:r>
        <w:rPr>
          <w:rFonts w:hint="eastAsia" w:ascii="Times New Roman" w:hAnsi="Times New Roman" w:eastAsia="宋体"/>
          <w:szCs w:val="21"/>
        </w:rPr>
        <w:t>信息</w:t>
      </w:r>
      <w:r>
        <w:rPr>
          <w:rFonts w:ascii="Times New Roman" w:hAnsi="Times New Roman" w:eastAsia="宋体"/>
          <w:szCs w:val="21"/>
        </w:rPr>
        <w:t>的符合性、完整性和有效性。若</w:t>
      </w:r>
      <w:r>
        <w:rPr>
          <w:rFonts w:hint="eastAsia" w:ascii="Times New Roman" w:hAnsi="Times New Roman" w:eastAsia="宋体"/>
          <w:szCs w:val="21"/>
        </w:rPr>
        <w:t>信息</w:t>
      </w:r>
      <w:r>
        <w:rPr>
          <w:rFonts w:ascii="Times New Roman" w:hAnsi="Times New Roman" w:eastAsia="宋体"/>
          <w:szCs w:val="21"/>
        </w:rPr>
        <w:t>达不到工作要求，需开展补充调查。</w:t>
      </w:r>
    </w:p>
    <w:p w14:paraId="007B1C79">
      <w:pPr>
        <w:pStyle w:val="66"/>
        <w:spacing w:before="156" w:after="156"/>
        <w:rPr>
          <w:b/>
          <w:bCs/>
        </w:rPr>
      </w:pPr>
      <w:bookmarkStart w:id="52" w:name="_Toc182575435"/>
      <w:bookmarkStart w:id="53" w:name="_Toc193189060"/>
      <w:bookmarkStart w:id="54" w:name="_Toc183542807"/>
      <w:bookmarkStart w:id="55" w:name="_Toc185097899"/>
      <w:bookmarkStart w:id="56" w:name="_Toc194588989"/>
      <w:bookmarkStart w:id="57" w:name="_Toc193268220"/>
      <w:bookmarkStart w:id="58" w:name="_Toc193268274"/>
      <w:r>
        <w:rPr>
          <w:rFonts w:hint="eastAsia"/>
        </w:rPr>
        <w:t>5.2</w:t>
      </w:r>
      <w:bookmarkEnd w:id="52"/>
      <w:r>
        <w:rPr>
          <w:rFonts w:hint="eastAsia"/>
        </w:rPr>
        <w:t>污染风险单元划分</w:t>
      </w:r>
      <w:bookmarkEnd w:id="53"/>
      <w:bookmarkEnd w:id="54"/>
      <w:bookmarkEnd w:id="55"/>
      <w:bookmarkEnd w:id="56"/>
      <w:bookmarkEnd w:id="57"/>
      <w:bookmarkEnd w:id="58"/>
    </w:p>
    <w:p w14:paraId="0DFFF29A">
      <w:pPr>
        <w:pStyle w:val="70"/>
        <w:ind w:left="0"/>
      </w:pPr>
      <w:r>
        <w:rPr>
          <w:rFonts w:hint="eastAsia" w:ascii="黑体" w:hAnsi="黑体" w:eastAsia="黑体"/>
        </w:rPr>
        <w:t>5</w:t>
      </w:r>
      <w:r>
        <w:rPr>
          <w:rFonts w:ascii="黑体" w:hAnsi="黑体" w:eastAsia="黑体"/>
        </w:rPr>
        <w:t>.2.1</w:t>
      </w:r>
      <w:r>
        <w:t>根据拟定</w:t>
      </w:r>
      <w:r>
        <w:rPr>
          <w:rFonts w:hint="eastAsia"/>
        </w:rPr>
        <w:t>风险</w:t>
      </w:r>
      <w:r>
        <w:t>评估对象的分布，结合相关环境管理工作要求确定风险评估范围。</w:t>
      </w:r>
    </w:p>
    <w:p w14:paraId="2F0AAA9B">
      <w:pPr>
        <w:pStyle w:val="70"/>
        <w:ind w:left="0"/>
      </w:pPr>
      <w:r>
        <w:rPr>
          <w:rFonts w:hint="eastAsia" w:ascii="黑体" w:hAnsi="黑体" w:eastAsia="黑体"/>
        </w:rPr>
        <w:t>5</w:t>
      </w:r>
      <w:r>
        <w:rPr>
          <w:rFonts w:ascii="黑体" w:hAnsi="黑体" w:eastAsia="黑体"/>
        </w:rPr>
        <w:t>.2.2</w:t>
      </w:r>
      <w:r>
        <w:t>若</w:t>
      </w:r>
      <w:r>
        <w:rPr>
          <w:rFonts w:hint="eastAsia"/>
        </w:rPr>
        <w:t>风险</w:t>
      </w:r>
      <w:r>
        <w:t>评估对象为</w:t>
      </w:r>
      <w:r>
        <w:rPr>
          <w:rFonts w:hint="eastAsia"/>
        </w:rPr>
        <w:t>一个独立水文单元</w:t>
      </w:r>
      <w:r>
        <w:t>，则以该</w:t>
      </w:r>
      <w:r>
        <w:rPr>
          <w:rFonts w:hint="eastAsia"/>
        </w:rPr>
        <w:t>水文单元</w:t>
      </w:r>
      <w:r>
        <w:t>为一个</w:t>
      </w:r>
      <w:r>
        <w:rPr>
          <w:rFonts w:hint="eastAsia"/>
        </w:rPr>
        <w:t>污染</w:t>
      </w:r>
      <w:r>
        <w:t>风险单元；若评估</w:t>
      </w:r>
      <w:r>
        <w:rPr>
          <w:rFonts w:hint="eastAsia"/>
        </w:rPr>
        <w:t>风险</w:t>
      </w:r>
      <w:r>
        <w:t>对象涵盖多</w:t>
      </w:r>
      <w:r>
        <w:rPr>
          <w:rFonts w:hint="eastAsia"/>
        </w:rPr>
        <w:t>个水文单元</w:t>
      </w:r>
      <w:r>
        <w:t>，则</w:t>
      </w:r>
      <w:r>
        <w:rPr>
          <w:rFonts w:hint="eastAsia"/>
        </w:rPr>
        <w:t>将</w:t>
      </w:r>
      <w:r>
        <w:t>风险评估范围</w:t>
      </w:r>
      <w:r>
        <w:rPr>
          <w:rFonts w:hint="eastAsia"/>
        </w:rPr>
        <w:t>划分为多个</w:t>
      </w:r>
      <w:r>
        <w:t>污染风险单元，记为单元1、单元2、……单元n</w:t>
      </w:r>
      <w:r>
        <w:rPr>
          <w:rFonts w:hint="eastAsia"/>
        </w:rPr>
        <w:t>，分别开展污染风险评估</w:t>
      </w:r>
      <w:r>
        <w:t>。</w:t>
      </w:r>
    </w:p>
    <w:p w14:paraId="473FC52D">
      <w:pPr>
        <w:pStyle w:val="3"/>
        <w:widowControl/>
        <w:spacing w:before="0" w:after="0" w:line="240" w:lineRule="auto"/>
        <w:jc w:val="left"/>
        <w:rPr>
          <w:rFonts w:hint="eastAsia" w:ascii="黑体" w:hAnsi="黑体" w:eastAsia="黑体"/>
          <w:b w:val="0"/>
          <w:kern w:val="0"/>
          <w:sz w:val="21"/>
          <w:szCs w:val="21"/>
        </w:rPr>
      </w:pPr>
      <w:bookmarkStart w:id="59" w:name="_Toc194588990"/>
      <w:bookmarkStart w:id="60" w:name="_Toc181892414"/>
      <w:bookmarkStart w:id="61" w:name="_Toc181892251"/>
      <w:r>
        <w:rPr>
          <w:rFonts w:hint="eastAsia" w:ascii="黑体" w:hAnsi="黑体" w:eastAsia="黑体"/>
          <w:b w:val="0"/>
          <w:kern w:val="0"/>
          <w:sz w:val="21"/>
          <w:szCs w:val="21"/>
        </w:rPr>
        <w:t>6 环境污染风险评估</w:t>
      </w:r>
      <w:bookmarkEnd w:id="59"/>
    </w:p>
    <w:p w14:paraId="747C2EC4">
      <w:pPr>
        <w:pStyle w:val="66"/>
        <w:spacing w:before="156" w:after="156"/>
        <w:rPr>
          <w:b/>
          <w:bCs/>
        </w:rPr>
      </w:pPr>
      <w:bookmarkStart w:id="62" w:name="_Toc193189062"/>
      <w:bookmarkStart w:id="63" w:name="_Toc183542809"/>
      <w:bookmarkStart w:id="64" w:name="_Toc182575437"/>
      <w:bookmarkStart w:id="65" w:name="_Toc193268276"/>
      <w:bookmarkStart w:id="66" w:name="_Toc194588991"/>
      <w:bookmarkStart w:id="67" w:name="_Toc185097901"/>
      <w:r>
        <w:rPr>
          <w:rFonts w:hint="eastAsia"/>
        </w:rPr>
        <w:t>6.1风险识别</w:t>
      </w:r>
      <w:bookmarkEnd w:id="62"/>
      <w:bookmarkEnd w:id="63"/>
      <w:bookmarkEnd w:id="64"/>
      <w:bookmarkEnd w:id="65"/>
      <w:bookmarkEnd w:id="66"/>
      <w:bookmarkEnd w:id="67"/>
    </w:p>
    <w:bookmarkEnd w:id="60"/>
    <w:bookmarkEnd w:id="61"/>
    <w:p w14:paraId="5B1B0E70">
      <w:pPr>
        <w:pStyle w:val="65"/>
        <w:spacing w:before="156" w:after="156" w:line="360" w:lineRule="auto"/>
      </w:pPr>
      <w:r>
        <w:rPr>
          <w:rFonts w:hint="eastAsia"/>
        </w:rPr>
        <w:t>6.1.1风险源识别</w:t>
      </w:r>
    </w:p>
    <w:p w14:paraId="3805B4A2">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1.1.1</w:t>
      </w:r>
      <w:r>
        <w:rPr>
          <w:rFonts w:hint="eastAsia" w:ascii="Times New Roman" w:hAnsi="Times New Roman" w:eastAsia="宋体"/>
          <w:szCs w:val="21"/>
        </w:rPr>
        <w:t>识别</w:t>
      </w:r>
      <w:r>
        <w:rPr>
          <w:rFonts w:ascii="Times New Roman" w:hAnsi="Times New Roman" w:eastAsia="宋体"/>
          <w:szCs w:val="21"/>
        </w:rPr>
        <w:t>矿山环境风险源</w:t>
      </w:r>
      <w:r>
        <w:rPr>
          <w:rFonts w:hint="eastAsia" w:ascii="Times New Roman" w:hAnsi="Times New Roman" w:eastAsia="宋体"/>
          <w:szCs w:val="21"/>
        </w:rPr>
        <w:t>。根据5.1收集到的信息，识别</w:t>
      </w:r>
      <w:r>
        <w:rPr>
          <w:rFonts w:ascii="Times New Roman" w:hAnsi="Times New Roman" w:eastAsia="宋体"/>
          <w:szCs w:val="21"/>
        </w:rPr>
        <w:t>矿山环境风险源</w:t>
      </w:r>
      <w:r>
        <w:rPr>
          <w:rFonts w:hint="eastAsia" w:ascii="Times New Roman" w:hAnsi="Times New Roman" w:eastAsia="宋体"/>
          <w:szCs w:val="21"/>
        </w:rPr>
        <w:t>的</w:t>
      </w:r>
      <w:r>
        <w:rPr>
          <w:rFonts w:ascii="Times New Roman" w:hAnsi="Times New Roman" w:eastAsia="宋体"/>
          <w:szCs w:val="21"/>
        </w:rPr>
        <w:t>类别、名称、地理坐标、规模、名称（编号）和数量等信息。</w:t>
      </w:r>
    </w:p>
    <w:p w14:paraId="6A506129">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1.1.2</w:t>
      </w:r>
      <w:r>
        <w:rPr>
          <w:rFonts w:ascii="Times New Roman" w:hAnsi="Times New Roman" w:eastAsia="宋体"/>
          <w:szCs w:val="21"/>
        </w:rPr>
        <w:t>识别特征污染物。根据主要矿物成分与污染监测分析结果</w:t>
      </w:r>
      <w:r>
        <w:rPr>
          <w:rFonts w:hint="eastAsia" w:ascii="Times New Roman" w:hAnsi="Times New Roman" w:eastAsia="宋体"/>
          <w:szCs w:val="21"/>
        </w:rPr>
        <w:t>识别特征污染物，</w:t>
      </w:r>
      <w:r>
        <w:rPr>
          <w:rFonts w:ascii="Times New Roman" w:hAnsi="Times New Roman" w:eastAsia="宋体"/>
          <w:szCs w:val="21"/>
        </w:rPr>
        <w:t>一般包括pH，镉、砷、汞、铅、铜、锌、镍、铬、锑、铊等重金属，及氟化物、硫化物等与矿物伴生且环境危害显著的无机物。</w:t>
      </w:r>
    </w:p>
    <w:p w14:paraId="74F9978D">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1.1.3</w:t>
      </w:r>
      <w:r>
        <w:rPr>
          <w:rFonts w:ascii="Times New Roman" w:hAnsi="Times New Roman" w:eastAsia="宋体"/>
          <w:szCs w:val="21"/>
        </w:rPr>
        <w:t>以地形图、卫星影像图等为</w:t>
      </w:r>
      <w:r>
        <w:rPr>
          <w:rFonts w:hint="eastAsia" w:ascii="Times New Roman" w:hAnsi="Times New Roman" w:eastAsia="宋体"/>
          <w:szCs w:val="21"/>
        </w:rPr>
        <w:t>底图</w:t>
      </w:r>
      <w:r>
        <w:rPr>
          <w:rFonts w:ascii="Times New Roman" w:hAnsi="Times New Roman" w:eastAsia="宋体"/>
          <w:szCs w:val="21"/>
        </w:rPr>
        <w:t>，绘制矿山环境风险源分布图。</w:t>
      </w:r>
    </w:p>
    <w:p w14:paraId="263803B2">
      <w:pPr>
        <w:pStyle w:val="65"/>
        <w:spacing w:before="156" w:after="156" w:line="360" w:lineRule="auto"/>
      </w:pPr>
      <w:r>
        <w:rPr>
          <w:rFonts w:hint="eastAsia"/>
        </w:rPr>
        <w:t>6.1.2迁移途径识别</w:t>
      </w:r>
    </w:p>
    <w:p w14:paraId="4DF286B9">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1.2.1</w:t>
      </w:r>
      <w:r>
        <w:rPr>
          <w:rFonts w:ascii="Times New Roman" w:hAnsi="Times New Roman" w:eastAsia="宋体"/>
          <w:szCs w:val="21"/>
        </w:rPr>
        <w:t>根据地形地貌、水文地质、水系等基本情况，结合各环境介质中污染物的时空分布特征，识别特征污染物的主要迁移扩散途径。</w:t>
      </w:r>
    </w:p>
    <w:p w14:paraId="6C2756D9">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1.2.2</w:t>
      </w:r>
      <w:r>
        <w:rPr>
          <w:rFonts w:ascii="Times New Roman" w:hAnsi="Times New Roman" w:eastAsia="宋体"/>
          <w:szCs w:val="21"/>
        </w:rPr>
        <w:t xml:space="preserve"> 若场地条件复杂，可结合同位素源解析等技术分析地表、地下等各途径的污染迁移扩散情况。</w:t>
      </w:r>
    </w:p>
    <w:p w14:paraId="3C3BB566">
      <w:pPr>
        <w:pStyle w:val="65"/>
        <w:spacing w:before="156" w:after="156" w:line="360" w:lineRule="auto"/>
      </w:pPr>
      <w:r>
        <w:rPr>
          <w:rFonts w:hint="eastAsia"/>
        </w:rPr>
        <w:t>6.1.3风险受体识别</w:t>
      </w:r>
    </w:p>
    <w:p w14:paraId="59AAD98D">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1.3.1</w:t>
      </w:r>
      <w:r>
        <w:rPr>
          <w:rFonts w:ascii="Times New Roman" w:hAnsi="Times New Roman" w:eastAsia="宋体"/>
          <w:szCs w:val="21"/>
        </w:rPr>
        <w:t>识别风险单元外可能影响的风险受体范围，该范围一般以风险控制断面下游3公里为界，结合地表分水岭、水文地质单元边界等划定，也可根据水文地质条件、汇水单元、周边污染状况适当调整。</w:t>
      </w:r>
    </w:p>
    <w:p w14:paraId="0A68EBB7">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1.3.2</w:t>
      </w:r>
      <w:r>
        <w:rPr>
          <w:rFonts w:ascii="Times New Roman" w:hAnsi="Times New Roman" w:eastAsia="宋体"/>
          <w:szCs w:val="21"/>
        </w:rPr>
        <w:t>识别风险受体</w:t>
      </w:r>
      <w:r>
        <w:rPr>
          <w:rFonts w:hint="eastAsia" w:ascii="Times New Roman" w:hAnsi="Times New Roman" w:eastAsia="宋体"/>
          <w:szCs w:val="21"/>
        </w:rPr>
        <w:t>，</w:t>
      </w:r>
      <w:r>
        <w:rPr>
          <w:rFonts w:ascii="Times New Roman" w:hAnsi="Times New Roman" w:eastAsia="宋体"/>
          <w:szCs w:val="21"/>
        </w:rPr>
        <w:t>将风险单元内和风险单元外的重要断面、饮用水水源及保护区、人口、耕地等识别为风险受体，列明受体类别、名称、地理坐标以及规模等信息。</w:t>
      </w:r>
    </w:p>
    <w:p w14:paraId="762777C3">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1.3.3</w:t>
      </w:r>
      <w:r>
        <w:rPr>
          <w:rFonts w:ascii="Times New Roman" w:hAnsi="Times New Roman" w:eastAsia="宋体"/>
          <w:szCs w:val="21"/>
        </w:rPr>
        <w:t>以地形图、卫星影像图等为基础，绘制风险受体分布图。</w:t>
      </w:r>
    </w:p>
    <w:p w14:paraId="632A5B17">
      <w:pPr>
        <w:pStyle w:val="65"/>
        <w:spacing w:before="156" w:after="156" w:line="360" w:lineRule="auto"/>
      </w:pPr>
      <w:r>
        <w:rPr>
          <w:rFonts w:hint="eastAsia"/>
        </w:rPr>
        <w:t>6.1.4 构建风险概念模型</w:t>
      </w:r>
    </w:p>
    <w:p w14:paraId="6AF566E2">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1.4.1</w:t>
      </w:r>
      <w:r>
        <w:rPr>
          <w:rFonts w:ascii="Times New Roman" w:hAnsi="Times New Roman" w:eastAsia="宋体"/>
          <w:szCs w:val="21"/>
        </w:rPr>
        <w:t>用文字、图、表等方式来综合描述污染源污染释放、污染物迁移途径、人群或水体等受体接触污染介质的过程和接触方式等。</w:t>
      </w:r>
    </w:p>
    <w:p w14:paraId="6378CAA9">
      <w:pPr>
        <w:rPr>
          <w:rFonts w:ascii="Times New Roman" w:hAnsi="Times New Roman" w:eastAsia="宋体"/>
          <w:szCs w:val="21"/>
        </w:rPr>
      </w:pPr>
      <w:r>
        <w:rPr>
          <w:rFonts w:hint="eastAsia" w:ascii="黑体" w:hAnsi="黑体" w:eastAsia="黑体"/>
          <w:kern w:val="0"/>
          <w:szCs w:val="21"/>
        </w:rPr>
        <w:t>6.</w:t>
      </w:r>
      <w:r>
        <w:rPr>
          <w:rFonts w:ascii="黑体" w:hAnsi="黑体" w:eastAsia="黑体"/>
          <w:kern w:val="0"/>
          <w:szCs w:val="21"/>
        </w:rPr>
        <w:t>1.4.2</w:t>
      </w:r>
      <w:r>
        <w:rPr>
          <w:rFonts w:ascii="Times New Roman" w:hAnsi="Times New Roman" w:eastAsia="宋体"/>
          <w:szCs w:val="21"/>
        </w:rPr>
        <w:t>风险概念模型宜包括下列信息：</w:t>
      </w:r>
    </w:p>
    <w:p w14:paraId="2C03983A">
      <w:pPr>
        <w:ind w:firstLine="420" w:firstLineChars="200"/>
        <w:rPr>
          <w:rFonts w:ascii="Times New Roman" w:hAnsi="Times New Roman" w:eastAsia="宋体"/>
          <w:szCs w:val="21"/>
        </w:rPr>
      </w:pPr>
      <w:r>
        <w:rPr>
          <w:rFonts w:ascii="Times New Roman" w:hAnsi="Times New Roman" w:eastAsia="宋体"/>
          <w:szCs w:val="21"/>
        </w:rPr>
        <w:t>a）地质与水文地质条件：地层分布及岩性、地质构造、地下水类型、含水层系统结构、地下水流场、地下水动态变化特征、地下水补径排条件等。</w:t>
      </w:r>
    </w:p>
    <w:p w14:paraId="20F3B2F4">
      <w:pPr>
        <w:ind w:firstLine="420" w:firstLineChars="200"/>
        <w:rPr>
          <w:rFonts w:ascii="Times New Roman" w:hAnsi="Times New Roman" w:eastAsia="宋体"/>
          <w:szCs w:val="21"/>
        </w:rPr>
      </w:pPr>
      <w:r>
        <w:rPr>
          <w:rFonts w:ascii="Times New Roman" w:hAnsi="Times New Roman" w:eastAsia="宋体"/>
          <w:szCs w:val="21"/>
        </w:rPr>
        <w:t>b）污染特征：矿山环境风险源、特征污染物迁移途径、污染物空间分布等。</w:t>
      </w:r>
    </w:p>
    <w:p w14:paraId="4024F1DD">
      <w:pPr>
        <w:ind w:firstLine="420" w:firstLineChars="200"/>
        <w:rPr>
          <w:rFonts w:ascii="Times New Roman" w:hAnsi="Times New Roman" w:eastAsia="宋体"/>
          <w:szCs w:val="21"/>
        </w:rPr>
      </w:pPr>
      <w:r>
        <w:rPr>
          <w:rFonts w:ascii="Times New Roman" w:hAnsi="Times New Roman" w:eastAsia="宋体"/>
          <w:szCs w:val="21"/>
        </w:rPr>
        <w:t>c）受体与周边环境情况：结合水体使用功能和用地规划，分析污染源与受体的相对位置关系、受体的关键暴露途径等。</w:t>
      </w:r>
    </w:p>
    <w:p w14:paraId="645F801A">
      <w:pPr>
        <w:pStyle w:val="66"/>
        <w:spacing w:before="156" w:after="156"/>
      </w:pPr>
      <w:bookmarkStart w:id="68" w:name="_Toc185097902"/>
      <w:bookmarkStart w:id="69" w:name="_Toc193268277"/>
      <w:bookmarkStart w:id="70" w:name="_Toc194588992"/>
      <w:bookmarkStart w:id="71" w:name="_Toc193189063"/>
      <w:r>
        <w:rPr>
          <w:rFonts w:hint="eastAsia"/>
        </w:rPr>
        <w:t>6.2第一层次风险量化评估</w:t>
      </w:r>
      <w:bookmarkEnd w:id="68"/>
      <w:bookmarkEnd w:id="69"/>
      <w:bookmarkEnd w:id="70"/>
      <w:bookmarkEnd w:id="71"/>
    </w:p>
    <w:p w14:paraId="3EC256F6">
      <w:pPr>
        <w:pStyle w:val="65"/>
        <w:spacing w:before="156" w:after="156" w:line="360" w:lineRule="auto"/>
      </w:pPr>
      <w:r>
        <w:rPr>
          <w:rFonts w:hint="eastAsia"/>
        </w:rPr>
        <w:t>6.2.1废渣危害性指数计算</w:t>
      </w:r>
    </w:p>
    <w:p w14:paraId="408EFC53">
      <w:pPr>
        <w:ind w:firstLine="420" w:firstLineChars="200"/>
        <w:rPr>
          <w:rFonts w:ascii="Times New Roman" w:hAnsi="Times New Roman" w:eastAsia="宋体"/>
          <w:szCs w:val="21"/>
        </w:rPr>
      </w:pPr>
      <w:r>
        <w:rPr>
          <w:rFonts w:ascii="Times New Roman" w:hAnsi="Times New Roman" w:eastAsia="宋体"/>
          <w:szCs w:val="21"/>
        </w:rPr>
        <w:t>利用层次分析法，以废渣风险源危害性为目标层，以废渣堆的类型、规模和性质为准则层，构建评估指标体系，见</w:t>
      </w:r>
      <w:r>
        <w:rPr>
          <w:rFonts w:hint="eastAsia" w:ascii="Times New Roman" w:hAnsi="Times New Roman" w:eastAsia="宋体"/>
          <w:szCs w:val="21"/>
        </w:rPr>
        <w:t>表</w:t>
      </w:r>
      <w:r>
        <w:rPr>
          <w:rFonts w:ascii="Times New Roman" w:hAnsi="Times New Roman" w:eastAsia="宋体"/>
          <w:szCs w:val="21"/>
        </w:rPr>
        <w:t xml:space="preserve"> A.1。</w:t>
      </w:r>
    </w:p>
    <w:p w14:paraId="4872D7A4">
      <w:pPr>
        <w:ind w:firstLine="420" w:firstLineChars="200"/>
        <w:rPr>
          <w:rFonts w:ascii="Times New Roman" w:hAnsi="Times New Roman" w:eastAsia="宋体"/>
          <w:szCs w:val="21"/>
        </w:rPr>
      </w:pPr>
      <w:r>
        <w:rPr>
          <w:rFonts w:ascii="Times New Roman" w:hAnsi="Times New Roman" w:eastAsia="宋体"/>
          <w:szCs w:val="21"/>
        </w:rPr>
        <w:t>根据收集到的信息给各指标赋值，量化计算出各个废渣堆的风险源危害性H</w:t>
      </w:r>
      <w:r>
        <w:rPr>
          <w:rFonts w:ascii="Times New Roman" w:hAnsi="Times New Roman" w:eastAsia="宋体"/>
          <w:szCs w:val="21"/>
          <w:vertAlign w:val="subscript"/>
        </w:rPr>
        <w:t>i,渣</w:t>
      </w:r>
      <w:r>
        <w:rPr>
          <w:rFonts w:ascii="Times New Roman" w:hAnsi="Times New Roman" w:eastAsia="宋体"/>
          <w:szCs w:val="21"/>
        </w:rPr>
        <w:t>。</w:t>
      </w:r>
      <w:bookmarkStart w:id="72" w:name="_Hlk185099285"/>
      <w:r>
        <w:rPr>
          <w:rFonts w:ascii="Times New Roman" w:hAnsi="Times New Roman" w:eastAsia="宋体"/>
          <w:szCs w:val="21"/>
        </w:rPr>
        <w:t>一个污染风险单元内所有废渣堆的风险源危害性指数</w:t>
      </w:r>
      <w:bookmarkEnd w:id="72"/>
      <w:r>
        <w:rPr>
          <w:rFonts w:ascii="Times New Roman" w:hAnsi="Times New Roman" w:eastAsia="宋体"/>
          <w:szCs w:val="21"/>
        </w:rPr>
        <w:t>计算方法见公式（1）：</w:t>
      </w:r>
    </w:p>
    <w:p w14:paraId="78C78019">
      <w:pPr>
        <w:spacing w:line="360" w:lineRule="auto"/>
        <w:jc w:val="right"/>
        <w:rPr>
          <w:rFonts w:ascii="Times New Roman" w:hAnsi="Times New Roman"/>
          <w:szCs w:val="21"/>
        </w:rPr>
      </w:pPr>
      <w:r>
        <w:rPr>
          <w:rFonts w:ascii="Times New Roman" w:hAnsi="Times New Roman" w:eastAsia="宋体"/>
          <w:szCs w:val="21"/>
        </w:rPr>
        <w:t>H</w:t>
      </w:r>
      <w:r>
        <w:rPr>
          <w:rFonts w:ascii="Times New Roman" w:hAnsi="Times New Roman" w:eastAsia="宋体"/>
          <w:szCs w:val="21"/>
          <w:vertAlign w:val="subscript"/>
        </w:rPr>
        <w:t>渣</w:t>
      </w:r>
      <w:r>
        <w:rPr>
          <w:rFonts w:ascii="Times New Roman" w:hAnsi="Times New Roman" w:eastAsia="宋体"/>
          <w:szCs w:val="21"/>
        </w:rPr>
        <w:t>=</w:t>
      </w:r>
      <m:oMath>
        <m:f>
          <m:fPr>
            <m:ctrlPr>
              <w:rPr>
                <w:rFonts w:ascii="Cambria Math" w:hAnsi="Cambria Math" w:eastAsia="宋体"/>
                <w:i/>
                <w:szCs w:val="21"/>
              </w:rPr>
            </m:ctrlPr>
          </m:fPr>
          <m:num>
            <m:nary>
              <m:naryPr>
                <m:chr m:val="∑"/>
                <m:limLoc m:val="subSup"/>
                <m:ctrlPr>
                  <w:rPr>
                    <w:rFonts w:ascii="Cambria Math" w:hAnsi="Cambria Math" w:eastAsia="宋体"/>
                    <w:i/>
                    <w:szCs w:val="21"/>
                  </w:rPr>
                </m:ctrlPr>
              </m:naryPr>
              <m:sub>
                <m:r>
                  <m:rPr/>
                  <w:rPr>
                    <w:rFonts w:ascii="Cambria Math" w:hAnsi="Cambria Math" w:eastAsia="宋体"/>
                    <w:szCs w:val="21"/>
                  </w:rPr>
                  <m:t>1</m:t>
                </m:r>
                <m:ctrlPr>
                  <w:rPr>
                    <w:rFonts w:ascii="Cambria Math" w:hAnsi="Cambria Math" w:eastAsia="宋体"/>
                    <w:i/>
                    <w:szCs w:val="21"/>
                  </w:rPr>
                </m:ctrlPr>
              </m:sub>
              <m:sup>
                <m:r>
                  <m:rPr/>
                  <w:rPr>
                    <w:rFonts w:ascii="Cambria Math" w:hAnsi="Cambria Math" w:eastAsia="宋体"/>
                    <w:szCs w:val="21"/>
                  </w:rPr>
                  <m:t>j</m:t>
                </m:r>
                <m:ctrlPr>
                  <w:rPr>
                    <w:rFonts w:ascii="Cambria Math" w:hAnsi="Cambria Math" w:eastAsia="宋体"/>
                    <w:i/>
                    <w:szCs w:val="21"/>
                  </w:rPr>
                </m:ctrlPr>
              </m:sup>
              <m:e>
                <m:sSub>
                  <m:sSubPr>
                    <m:ctrlPr>
                      <w:rPr>
                        <w:rFonts w:ascii="Cambria Math" w:hAnsi="Cambria Math" w:eastAsia="宋体"/>
                        <w:i/>
                        <w:szCs w:val="21"/>
                      </w:rPr>
                    </m:ctrlPr>
                  </m:sSubPr>
                  <m:e>
                    <m:r>
                      <m:rPr/>
                      <w:rPr>
                        <w:rFonts w:ascii="Cambria Math" w:hAnsi="Cambria Math" w:eastAsia="宋体"/>
                        <w:szCs w:val="21"/>
                      </w:rPr>
                      <m:t>H</m:t>
                    </m:r>
                    <m:ctrlPr>
                      <w:rPr>
                        <w:rFonts w:ascii="Cambria Math" w:hAnsi="Cambria Math" w:eastAsia="宋体"/>
                        <w:i/>
                        <w:szCs w:val="21"/>
                      </w:rPr>
                    </m:ctrlPr>
                  </m:e>
                  <m:sub>
                    <m:r>
                      <m:rPr/>
                      <w:rPr>
                        <w:rFonts w:ascii="Cambria Math" w:hAnsi="Cambria Math" w:eastAsia="宋体"/>
                        <w:szCs w:val="21"/>
                      </w:rPr>
                      <m:t>i,渣</m:t>
                    </m:r>
                    <m:ctrlPr>
                      <w:rPr>
                        <w:rFonts w:ascii="Cambria Math" w:hAnsi="Cambria Math" w:eastAsia="宋体"/>
                        <w:i/>
                        <w:szCs w:val="21"/>
                      </w:rPr>
                    </m:ctrlPr>
                  </m:sub>
                </m:sSub>
                <m:ctrlPr>
                  <w:rPr>
                    <w:rFonts w:ascii="Cambria Math" w:hAnsi="Cambria Math" w:eastAsia="宋体"/>
                    <w:i/>
                    <w:szCs w:val="21"/>
                  </w:rPr>
                </m:ctrlPr>
              </m:e>
            </m:nary>
            <m:ctrlPr>
              <w:rPr>
                <w:rFonts w:ascii="Cambria Math" w:hAnsi="Cambria Math" w:eastAsia="宋体"/>
                <w:i/>
                <w:szCs w:val="21"/>
              </w:rPr>
            </m:ctrlPr>
          </m:num>
          <m:den>
            <m:nary>
              <m:naryPr>
                <m:chr m:val="∑"/>
                <m:limLoc m:val="subSup"/>
                <m:ctrlPr>
                  <w:rPr>
                    <w:rFonts w:ascii="Cambria Math" w:hAnsi="Cambria Math" w:eastAsia="宋体"/>
                    <w:i/>
                    <w:szCs w:val="21"/>
                  </w:rPr>
                </m:ctrlPr>
              </m:naryPr>
              <m:sub>
                <m:r>
                  <m:rPr/>
                  <w:rPr>
                    <w:rFonts w:ascii="Cambria Math" w:hAnsi="Cambria Math" w:eastAsia="宋体"/>
                    <w:szCs w:val="21"/>
                  </w:rPr>
                  <m:t>1</m:t>
                </m:r>
                <m:ctrlPr>
                  <w:rPr>
                    <w:rFonts w:ascii="Cambria Math" w:hAnsi="Cambria Math" w:eastAsia="宋体"/>
                    <w:i/>
                    <w:szCs w:val="21"/>
                  </w:rPr>
                </m:ctrlPr>
              </m:sub>
              <m:sup>
                <m:r>
                  <m:rPr/>
                  <w:rPr>
                    <w:rFonts w:ascii="Cambria Math" w:hAnsi="Cambria Math" w:eastAsia="宋体"/>
                    <w:szCs w:val="21"/>
                  </w:rPr>
                  <m:t>n</m:t>
                </m:r>
                <m:ctrlPr>
                  <w:rPr>
                    <w:rFonts w:ascii="Cambria Math" w:hAnsi="Cambria Math" w:eastAsia="宋体"/>
                    <w:i/>
                    <w:szCs w:val="21"/>
                  </w:rPr>
                </m:ctrlPr>
              </m:sup>
              <m:e>
                <m:sSub>
                  <m:sSubPr>
                    <m:ctrlPr>
                      <w:rPr>
                        <w:rFonts w:ascii="Cambria Math" w:hAnsi="Cambria Math" w:eastAsia="宋体"/>
                        <w:i/>
                        <w:szCs w:val="21"/>
                      </w:rPr>
                    </m:ctrlPr>
                  </m:sSubPr>
                  <m:e>
                    <m:r>
                      <m:rPr/>
                      <w:rPr>
                        <w:rFonts w:ascii="Cambria Math" w:hAnsi="Cambria Math" w:eastAsia="宋体"/>
                        <w:szCs w:val="21"/>
                      </w:rPr>
                      <m:t>H</m:t>
                    </m:r>
                    <m:ctrlPr>
                      <w:rPr>
                        <w:rFonts w:ascii="Cambria Math" w:hAnsi="Cambria Math" w:eastAsia="宋体"/>
                        <w:i/>
                        <w:szCs w:val="21"/>
                      </w:rPr>
                    </m:ctrlPr>
                  </m:e>
                  <m:sub>
                    <m:r>
                      <m:rPr/>
                      <w:rPr>
                        <w:rFonts w:ascii="Cambria Math" w:hAnsi="Cambria Math" w:eastAsia="宋体"/>
                        <w:szCs w:val="21"/>
                      </w:rPr>
                      <m:t>i,渣</m:t>
                    </m:r>
                    <m:ctrlPr>
                      <w:rPr>
                        <w:rFonts w:ascii="Cambria Math" w:hAnsi="Cambria Math" w:eastAsia="宋体"/>
                        <w:i/>
                        <w:szCs w:val="21"/>
                      </w:rPr>
                    </m:ctrlPr>
                  </m:sub>
                </m:sSub>
                <m:ctrlPr>
                  <w:rPr>
                    <w:rFonts w:ascii="Cambria Math" w:hAnsi="Cambria Math" w:eastAsia="宋体"/>
                    <w:i/>
                    <w:szCs w:val="21"/>
                  </w:rPr>
                </m:ctrlPr>
              </m:e>
            </m:nary>
            <m:ctrlPr>
              <w:rPr>
                <w:rFonts w:ascii="Cambria Math" w:hAnsi="Cambria Math" w:eastAsia="宋体"/>
                <w:i/>
                <w:szCs w:val="21"/>
              </w:rPr>
            </m:ctrlPr>
          </m:den>
        </m:f>
      </m:oMath>
      <w:r>
        <w:rPr>
          <w:rFonts w:ascii="Times New Roman" w:hAnsi="Times New Roman" w:eastAsia="宋体"/>
          <w:szCs w:val="21"/>
        </w:rPr>
        <w:t>×100</w:t>
      </w:r>
      <w:r>
        <w:rPr>
          <w:rFonts w:hint="eastAsia" w:ascii="Times New Roman" w:hAnsi="Times New Roman" w:eastAsia="宋体"/>
          <w:szCs w:val="21"/>
        </w:rPr>
        <w:t xml:space="preserve"> …………………………………</w:t>
      </w:r>
      <w:r>
        <w:rPr>
          <w:rFonts w:ascii="Times New Roman" w:hAnsi="Times New Roman" w:eastAsia="宋体"/>
          <w:szCs w:val="21"/>
        </w:rPr>
        <w:t>（1）</w:t>
      </w:r>
    </w:p>
    <w:p w14:paraId="188A30E7">
      <w:pPr>
        <w:ind w:firstLine="420" w:firstLineChars="200"/>
        <w:rPr>
          <w:rFonts w:ascii="Times New Roman" w:hAnsi="Times New Roman" w:eastAsia="宋体"/>
          <w:szCs w:val="21"/>
        </w:rPr>
      </w:pPr>
      <w:r>
        <w:rPr>
          <w:rFonts w:ascii="Times New Roman" w:hAnsi="Times New Roman" w:eastAsia="宋体"/>
          <w:szCs w:val="21"/>
        </w:rPr>
        <w:t>式中：</w:t>
      </w:r>
    </w:p>
    <w:p w14:paraId="0882BE1A">
      <w:pPr>
        <w:ind w:firstLine="420" w:firstLineChars="200"/>
        <w:rPr>
          <w:rFonts w:ascii="Times New Roman" w:hAnsi="Times New Roman" w:eastAsia="宋体"/>
          <w:szCs w:val="21"/>
        </w:rPr>
      </w:pPr>
      <w:r>
        <w:rPr>
          <w:rFonts w:hint="eastAsia" w:ascii="Times New Roman" w:hAnsi="Times New Roman" w:eastAsia="宋体"/>
          <w:szCs w:val="21"/>
        </w:rPr>
        <w:t>n——</w:t>
      </w:r>
      <w:r>
        <w:rPr>
          <w:rFonts w:ascii="Times New Roman" w:hAnsi="Times New Roman" w:eastAsia="宋体"/>
          <w:szCs w:val="21"/>
        </w:rPr>
        <w:t>一个污染风险单元内废渣堆的总数；</w:t>
      </w:r>
    </w:p>
    <w:p w14:paraId="1AC3970E">
      <w:pPr>
        <w:ind w:firstLine="420" w:firstLineChars="200"/>
        <w:rPr>
          <w:rFonts w:ascii="Times New Roman" w:hAnsi="Times New Roman" w:eastAsia="宋体"/>
          <w:szCs w:val="21"/>
        </w:rPr>
      </w:pPr>
      <w:r>
        <w:rPr>
          <w:rFonts w:ascii="Times New Roman" w:hAnsi="Times New Roman" w:eastAsia="宋体"/>
          <w:szCs w:val="21"/>
        </w:rPr>
        <w:t>j</w:t>
      </w:r>
      <w:bookmarkStart w:id="73" w:name="_Hlk185099143"/>
      <w:r>
        <w:rPr>
          <w:rFonts w:hint="eastAsia" w:ascii="Times New Roman" w:hAnsi="Times New Roman" w:eastAsia="宋体"/>
          <w:szCs w:val="21"/>
        </w:rPr>
        <w:t>——</w:t>
      </w:r>
      <w:r>
        <w:rPr>
          <w:rFonts w:ascii="Times New Roman" w:hAnsi="Times New Roman" w:eastAsia="宋体"/>
          <w:szCs w:val="21"/>
        </w:rPr>
        <w:t>根据危害性得分高低进行排序</w:t>
      </w:r>
      <w:bookmarkEnd w:id="73"/>
      <w:r>
        <w:rPr>
          <w:rFonts w:ascii="Times New Roman" w:hAnsi="Times New Roman" w:eastAsia="宋体"/>
          <w:szCs w:val="21"/>
        </w:rPr>
        <w:t>，其中高中危害等级的废渣堆最大序号为j（j</w:t>
      </w:r>
      <w:r>
        <w:rPr>
          <w:rFonts w:hint="eastAsia" w:ascii="Times New Roman" w:hAnsi="Times New Roman" w:eastAsia="宋体"/>
          <w:szCs w:val="21"/>
        </w:rPr>
        <w:t>≤</w:t>
      </w:r>
      <w:r>
        <w:rPr>
          <w:rFonts w:ascii="Times New Roman" w:hAnsi="Times New Roman" w:eastAsia="宋体"/>
          <w:szCs w:val="21"/>
        </w:rPr>
        <w:t>n）；</w:t>
      </w:r>
    </w:p>
    <w:p w14:paraId="5C86C2FC">
      <w:pPr>
        <w:ind w:firstLine="420" w:firstLineChars="200"/>
        <w:rPr>
          <w:rFonts w:ascii="Times New Roman" w:hAnsi="Times New Roman" w:eastAsia="宋体"/>
          <w:szCs w:val="21"/>
        </w:rPr>
      </w:pPr>
      <m:oMath>
        <m:nary>
          <m:naryPr>
            <m:chr m:val="∑"/>
            <m:limLoc m:val="subSup"/>
            <m:ctrlPr>
              <w:rPr>
                <w:rFonts w:ascii="Cambria Math" w:hAnsi="Cambria Math" w:eastAsia="宋体"/>
                <w:szCs w:val="21"/>
              </w:rPr>
            </m:ctrlPr>
          </m:naryPr>
          <m:sub>
            <m:r>
              <m:rPr>
                <m:sty m:val="p"/>
              </m:rPr>
              <w:rPr>
                <w:rFonts w:ascii="Cambria Math" w:hAnsi="Cambria Math" w:eastAsia="宋体"/>
                <w:szCs w:val="21"/>
              </w:rPr>
              <m:t>1</m:t>
            </m:r>
            <m:ctrlPr>
              <w:rPr>
                <w:rFonts w:ascii="Cambria Math" w:hAnsi="Cambria Math" w:eastAsia="宋体"/>
                <w:szCs w:val="21"/>
              </w:rPr>
            </m:ctrlPr>
          </m:sub>
          <m:sup>
            <m:r>
              <m:rPr/>
              <w:rPr>
                <w:rFonts w:ascii="Cambria Math" w:hAnsi="Cambria Math" w:eastAsia="宋体"/>
                <w:szCs w:val="21"/>
              </w:rPr>
              <m:t>j</m:t>
            </m:r>
            <m:ctrlPr>
              <w:rPr>
                <w:rFonts w:ascii="Cambria Math" w:hAnsi="Cambria Math" w:eastAsia="宋体"/>
                <w:szCs w:val="21"/>
              </w:rPr>
            </m:ctrlPr>
          </m:sup>
          <m:e>
            <m:sSub>
              <m:sSubPr>
                <m:ctrlPr>
                  <w:rPr>
                    <w:rFonts w:ascii="Cambria Math" w:hAnsi="Cambria Math" w:eastAsia="宋体"/>
                    <w:szCs w:val="21"/>
                  </w:rPr>
                </m:ctrlPr>
              </m:sSubPr>
              <m:e>
                <m:r>
                  <m:rPr/>
                  <w:rPr>
                    <w:rFonts w:ascii="Cambria Math" w:hAnsi="Cambria Math" w:eastAsia="宋体"/>
                    <w:szCs w:val="21"/>
                  </w:rPr>
                  <m:t>H</m:t>
                </m:r>
                <m:ctrlPr>
                  <w:rPr>
                    <w:rFonts w:ascii="Cambria Math" w:hAnsi="Cambria Math" w:eastAsia="宋体"/>
                    <w:szCs w:val="21"/>
                  </w:rPr>
                </m:ctrlPr>
              </m:e>
              <m:sub>
                <m:r>
                  <m:rPr/>
                  <w:rPr>
                    <w:rFonts w:ascii="Cambria Math" w:hAnsi="Cambria Math" w:eastAsia="宋体"/>
                    <w:szCs w:val="21"/>
                  </w:rPr>
                  <m:t>i</m:t>
                </m:r>
                <m:r>
                  <m:rPr>
                    <m:sty m:val="p"/>
                  </m:rPr>
                  <w:rPr>
                    <w:rFonts w:ascii="Cambria Math" w:hAnsi="Cambria Math" w:eastAsia="宋体"/>
                    <w:szCs w:val="21"/>
                  </w:rPr>
                  <m:t>,渣</m:t>
                </m:r>
                <m:ctrlPr>
                  <w:rPr>
                    <w:rFonts w:ascii="Cambria Math" w:hAnsi="Cambria Math" w:eastAsia="宋体"/>
                    <w:szCs w:val="21"/>
                  </w:rPr>
                </m:ctrlPr>
              </m:sub>
            </m:sSub>
            <m:ctrlPr>
              <w:rPr>
                <w:rFonts w:ascii="Cambria Math" w:hAnsi="Cambria Math" w:eastAsia="宋体"/>
                <w:szCs w:val="21"/>
              </w:rPr>
            </m:ctrlPr>
          </m:e>
        </m:nary>
      </m:oMath>
      <w:r>
        <w:rPr>
          <w:rFonts w:hint="eastAsia" w:ascii="Times New Roman" w:hAnsi="Times New Roman" w:eastAsia="宋体"/>
          <w:szCs w:val="21"/>
        </w:rPr>
        <w:t>——</w:t>
      </w:r>
      <w:r>
        <w:rPr>
          <w:rFonts w:ascii="Times New Roman" w:hAnsi="Times New Roman" w:eastAsia="宋体"/>
          <w:szCs w:val="21"/>
        </w:rPr>
        <w:t>所有</w:t>
      </w:r>
      <w:bookmarkStart w:id="74" w:name="_Hlk185099199"/>
      <w:r>
        <w:rPr>
          <w:rFonts w:ascii="Times New Roman" w:hAnsi="Times New Roman" w:eastAsia="宋体"/>
          <w:szCs w:val="21"/>
        </w:rPr>
        <w:t>高中危害等级的废渣堆危害性得分之和</w:t>
      </w:r>
      <w:bookmarkEnd w:id="74"/>
      <w:r>
        <w:rPr>
          <w:rFonts w:ascii="Times New Roman" w:hAnsi="Times New Roman" w:eastAsia="宋体"/>
          <w:szCs w:val="21"/>
        </w:rPr>
        <w:t>；</w:t>
      </w:r>
    </w:p>
    <w:p w14:paraId="38F321A7">
      <w:pPr>
        <w:ind w:firstLine="420" w:firstLineChars="200"/>
        <w:rPr>
          <w:rFonts w:ascii="Times New Roman" w:hAnsi="Times New Roman" w:eastAsia="宋体"/>
          <w:szCs w:val="21"/>
        </w:rPr>
      </w:pPr>
      <m:oMath>
        <m:r>
          <m:rPr/>
          <w:rPr>
            <w:rFonts w:ascii="Cambria Math" w:hAnsi="Cambria Math" w:eastAsia="宋体"/>
            <w:szCs w:val="21"/>
          </w:rPr>
          <m:t xml:space="preserve"> </m:t>
        </m:r>
        <m:nary>
          <m:naryPr>
            <m:chr m:val="∑"/>
            <m:limLoc m:val="subSup"/>
            <m:ctrlPr>
              <w:rPr>
                <w:rFonts w:ascii="Cambria Math" w:hAnsi="Cambria Math" w:eastAsia="宋体"/>
                <w:szCs w:val="21"/>
              </w:rPr>
            </m:ctrlPr>
          </m:naryPr>
          <m:sub>
            <m:r>
              <m:rPr>
                <m:sty m:val="p"/>
              </m:rPr>
              <w:rPr>
                <w:rFonts w:ascii="Cambria Math" w:hAnsi="Cambria Math" w:eastAsia="宋体"/>
                <w:szCs w:val="21"/>
              </w:rPr>
              <m:t>1</m:t>
            </m:r>
            <m:ctrlPr>
              <w:rPr>
                <w:rFonts w:ascii="Cambria Math" w:hAnsi="Cambria Math" w:eastAsia="宋体"/>
                <w:szCs w:val="21"/>
              </w:rPr>
            </m:ctrlPr>
          </m:sub>
          <m:sup>
            <m:r>
              <m:rPr/>
              <w:rPr>
                <w:rFonts w:ascii="Cambria Math" w:hAnsi="Cambria Math" w:eastAsia="宋体"/>
                <w:szCs w:val="21"/>
              </w:rPr>
              <m:t>n</m:t>
            </m:r>
            <m:ctrlPr>
              <w:rPr>
                <w:rFonts w:ascii="Cambria Math" w:hAnsi="Cambria Math" w:eastAsia="宋体"/>
                <w:szCs w:val="21"/>
              </w:rPr>
            </m:ctrlPr>
          </m:sup>
          <m:e>
            <m:sSub>
              <m:sSubPr>
                <m:ctrlPr>
                  <w:rPr>
                    <w:rFonts w:ascii="Cambria Math" w:hAnsi="Cambria Math" w:eastAsia="宋体"/>
                    <w:szCs w:val="21"/>
                  </w:rPr>
                </m:ctrlPr>
              </m:sSubPr>
              <m:e>
                <m:r>
                  <m:rPr/>
                  <w:rPr>
                    <w:rFonts w:ascii="Cambria Math" w:hAnsi="Cambria Math" w:eastAsia="宋体"/>
                    <w:szCs w:val="21"/>
                  </w:rPr>
                  <m:t>H</m:t>
                </m:r>
                <m:ctrlPr>
                  <w:rPr>
                    <w:rFonts w:ascii="Cambria Math" w:hAnsi="Cambria Math" w:eastAsia="宋体"/>
                    <w:szCs w:val="21"/>
                  </w:rPr>
                </m:ctrlPr>
              </m:e>
              <m:sub>
                <m:r>
                  <m:rPr/>
                  <w:rPr>
                    <w:rFonts w:ascii="Cambria Math" w:hAnsi="Cambria Math" w:eastAsia="宋体"/>
                    <w:szCs w:val="21"/>
                  </w:rPr>
                  <m:t>i</m:t>
                </m:r>
                <m:r>
                  <m:rPr>
                    <m:sty m:val="p"/>
                  </m:rPr>
                  <w:rPr>
                    <w:rFonts w:ascii="Cambria Math" w:hAnsi="Cambria Math" w:eastAsia="宋体"/>
                    <w:szCs w:val="21"/>
                  </w:rPr>
                  <m:t>,渣</m:t>
                </m:r>
                <m:ctrlPr>
                  <w:rPr>
                    <w:rFonts w:ascii="Cambria Math" w:hAnsi="Cambria Math" w:eastAsia="宋体"/>
                    <w:szCs w:val="21"/>
                  </w:rPr>
                </m:ctrlPr>
              </m:sub>
            </m:sSub>
            <m:ctrlPr>
              <w:rPr>
                <w:rFonts w:ascii="Cambria Math" w:hAnsi="Cambria Math" w:eastAsia="宋体"/>
                <w:szCs w:val="21"/>
              </w:rPr>
            </m:ctrlPr>
          </m:e>
        </m:nary>
      </m:oMath>
      <w:bookmarkStart w:id="75" w:name="_Hlk185099218"/>
      <w:r>
        <w:rPr>
          <w:rFonts w:hint="eastAsia" w:ascii="Times New Roman" w:hAnsi="Times New Roman" w:eastAsia="宋体"/>
          <w:szCs w:val="21"/>
        </w:rPr>
        <w:t>——</w:t>
      </w:r>
      <w:r>
        <w:rPr>
          <w:rFonts w:ascii="Times New Roman" w:hAnsi="Times New Roman" w:eastAsia="宋体"/>
          <w:szCs w:val="21"/>
        </w:rPr>
        <w:t>所有废渣堆的危害性得分之和</w:t>
      </w:r>
      <w:bookmarkEnd w:id="75"/>
      <w:r>
        <w:rPr>
          <w:rFonts w:ascii="Times New Roman" w:hAnsi="Times New Roman" w:eastAsia="宋体"/>
          <w:szCs w:val="21"/>
        </w:rPr>
        <w:t>。</w:t>
      </w:r>
    </w:p>
    <w:p w14:paraId="625ED0EB">
      <w:pPr>
        <w:ind w:firstLine="420" w:firstLineChars="200"/>
        <w:rPr>
          <w:rFonts w:ascii="Times New Roman" w:hAnsi="Times New Roman" w:eastAsia="宋体"/>
          <w:szCs w:val="21"/>
        </w:rPr>
      </w:pPr>
      <w:bookmarkStart w:id="76" w:name="_Hlk185099314"/>
      <w:r>
        <w:rPr>
          <w:rFonts w:ascii="Times New Roman" w:hAnsi="Times New Roman" w:eastAsia="宋体"/>
          <w:szCs w:val="21"/>
        </w:rPr>
        <w:t>若一个风险单元内无高中危害等级的废渣堆，则</w:t>
      </w:r>
      <w:r>
        <w:rPr>
          <w:rFonts w:hint="eastAsia" w:ascii="Times New Roman" w:hAnsi="Times New Roman" w:eastAsia="宋体"/>
          <w:szCs w:val="21"/>
        </w:rPr>
        <w:t>公式（1）的分子取废渣堆中的最大风险源危害性指数值</w:t>
      </w:r>
      <w:r>
        <w:rPr>
          <w:rFonts w:ascii="Times New Roman" w:hAnsi="Times New Roman" w:eastAsia="宋体"/>
          <w:szCs w:val="21"/>
        </w:rPr>
        <w:t>。</w:t>
      </w:r>
    </w:p>
    <w:bookmarkEnd w:id="76"/>
    <w:p w14:paraId="6A81AB9F">
      <w:pPr>
        <w:pStyle w:val="65"/>
        <w:spacing w:before="156" w:after="156" w:line="360" w:lineRule="auto"/>
      </w:pPr>
      <w:r>
        <w:rPr>
          <w:rFonts w:hint="eastAsia"/>
        </w:rPr>
        <w:t>6.2.2矿硐风险源危害性指数计算</w:t>
      </w:r>
    </w:p>
    <w:p w14:paraId="0BA1F451">
      <w:pPr>
        <w:ind w:firstLine="420" w:firstLineChars="200"/>
        <w:rPr>
          <w:rFonts w:ascii="Times New Roman" w:hAnsi="Times New Roman" w:eastAsia="宋体"/>
          <w:szCs w:val="21"/>
        </w:rPr>
      </w:pPr>
      <w:r>
        <w:rPr>
          <w:rFonts w:ascii="Times New Roman" w:hAnsi="Times New Roman" w:eastAsia="宋体"/>
          <w:szCs w:val="21"/>
        </w:rPr>
        <w:t>利用层次分析法，以矿硐风险源危害性为目标层，以矿硐的类型、规模和性质为准则层，构建评估指标体系，指标及赋值方法见</w:t>
      </w:r>
      <w:r>
        <w:rPr>
          <w:rFonts w:hint="eastAsia" w:ascii="Times New Roman" w:hAnsi="Times New Roman" w:eastAsia="宋体"/>
          <w:szCs w:val="21"/>
        </w:rPr>
        <w:t>表</w:t>
      </w:r>
      <w:r>
        <w:rPr>
          <w:rFonts w:ascii="Times New Roman" w:hAnsi="Times New Roman" w:eastAsia="宋体"/>
          <w:szCs w:val="21"/>
        </w:rPr>
        <w:t>A.2。</w:t>
      </w:r>
    </w:p>
    <w:p w14:paraId="5F267D13">
      <w:pPr>
        <w:ind w:firstLine="420" w:firstLineChars="200"/>
        <w:rPr>
          <w:rFonts w:ascii="Times New Roman" w:hAnsi="Times New Roman" w:eastAsia="宋体"/>
          <w:szCs w:val="21"/>
        </w:rPr>
      </w:pPr>
      <w:r>
        <w:rPr>
          <w:rFonts w:ascii="Times New Roman" w:hAnsi="Times New Roman" w:eastAsia="宋体"/>
          <w:szCs w:val="21"/>
        </w:rPr>
        <w:t>根据收集到的信息给各指标赋值，量化计算出各个矿硐的风险源危害性H</w:t>
      </w:r>
      <w:r>
        <w:rPr>
          <w:rFonts w:ascii="Times New Roman" w:hAnsi="Times New Roman" w:eastAsia="宋体"/>
          <w:szCs w:val="21"/>
          <w:vertAlign w:val="subscript"/>
        </w:rPr>
        <w:t>i,硐</w:t>
      </w:r>
      <w:r>
        <w:rPr>
          <w:rFonts w:ascii="Times New Roman" w:hAnsi="Times New Roman" w:eastAsia="宋体"/>
          <w:szCs w:val="21"/>
        </w:rPr>
        <w:t>。一个污染风险单元内所有矿硐的风险源危害性指数计算方法见公式（2）：</w:t>
      </w:r>
    </w:p>
    <w:p w14:paraId="62991DD6">
      <w:pPr>
        <w:spacing w:line="360" w:lineRule="auto"/>
        <w:jc w:val="right"/>
        <w:rPr>
          <w:rFonts w:ascii="Times New Roman" w:hAnsi="Times New Roman" w:eastAsia="宋体"/>
          <w:szCs w:val="21"/>
        </w:rPr>
      </w:pPr>
      <w:r>
        <w:rPr>
          <w:rFonts w:ascii="Times New Roman" w:hAnsi="Times New Roman" w:eastAsia="宋体"/>
          <w:szCs w:val="21"/>
        </w:rPr>
        <w:t>H</w:t>
      </w:r>
      <w:r>
        <w:rPr>
          <w:rFonts w:ascii="Times New Roman" w:hAnsi="Times New Roman" w:eastAsia="宋体"/>
          <w:szCs w:val="21"/>
          <w:vertAlign w:val="subscript"/>
        </w:rPr>
        <w:t>硐</w:t>
      </w:r>
      <w:r>
        <w:rPr>
          <w:rFonts w:ascii="Times New Roman" w:hAnsi="Times New Roman" w:eastAsia="宋体"/>
          <w:szCs w:val="21"/>
        </w:rPr>
        <w:t>=</w:t>
      </w:r>
      <m:oMath>
        <m:f>
          <m:fPr>
            <m:ctrlPr>
              <w:rPr>
                <w:rFonts w:ascii="Cambria Math" w:hAnsi="Cambria Math" w:eastAsia="宋体"/>
                <w:i/>
                <w:szCs w:val="21"/>
              </w:rPr>
            </m:ctrlPr>
          </m:fPr>
          <m:num>
            <m:nary>
              <m:naryPr>
                <m:chr m:val="∑"/>
                <m:limLoc m:val="subSup"/>
                <m:ctrlPr>
                  <w:rPr>
                    <w:rFonts w:ascii="Cambria Math" w:hAnsi="Cambria Math" w:eastAsia="宋体"/>
                    <w:i/>
                    <w:szCs w:val="21"/>
                  </w:rPr>
                </m:ctrlPr>
              </m:naryPr>
              <m:sub>
                <m:r>
                  <m:rPr/>
                  <w:rPr>
                    <w:rFonts w:ascii="Cambria Math" w:hAnsi="Cambria Math" w:eastAsia="宋体"/>
                    <w:szCs w:val="21"/>
                  </w:rPr>
                  <m:t>1</m:t>
                </m:r>
                <m:ctrlPr>
                  <w:rPr>
                    <w:rFonts w:ascii="Cambria Math" w:hAnsi="Cambria Math" w:eastAsia="宋体"/>
                    <w:i/>
                    <w:szCs w:val="21"/>
                  </w:rPr>
                </m:ctrlPr>
              </m:sub>
              <m:sup>
                <m:r>
                  <m:rPr/>
                  <w:rPr>
                    <w:rFonts w:ascii="Cambria Math" w:hAnsi="Cambria Math" w:eastAsia="宋体"/>
                    <w:szCs w:val="21"/>
                  </w:rPr>
                  <m:t>j</m:t>
                </m:r>
                <m:ctrlPr>
                  <w:rPr>
                    <w:rFonts w:ascii="Cambria Math" w:hAnsi="Cambria Math" w:eastAsia="宋体"/>
                    <w:i/>
                    <w:szCs w:val="21"/>
                  </w:rPr>
                </m:ctrlPr>
              </m:sup>
              <m:e>
                <m:sSub>
                  <m:sSubPr>
                    <m:ctrlPr>
                      <w:rPr>
                        <w:rFonts w:ascii="Cambria Math" w:hAnsi="Cambria Math" w:eastAsia="宋体"/>
                        <w:i/>
                        <w:szCs w:val="21"/>
                      </w:rPr>
                    </m:ctrlPr>
                  </m:sSubPr>
                  <m:e>
                    <m:r>
                      <m:rPr/>
                      <w:rPr>
                        <w:rFonts w:ascii="Cambria Math" w:hAnsi="Cambria Math" w:eastAsia="宋体"/>
                        <w:szCs w:val="21"/>
                      </w:rPr>
                      <m:t>H</m:t>
                    </m:r>
                    <m:ctrlPr>
                      <w:rPr>
                        <w:rFonts w:ascii="Cambria Math" w:hAnsi="Cambria Math" w:eastAsia="宋体"/>
                        <w:i/>
                        <w:szCs w:val="21"/>
                      </w:rPr>
                    </m:ctrlPr>
                  </m:e>
                  <m:sub>
                    <m:r>
                      <m:rPr/>
                      <w:rPr>
                        <w:rFonts w:ascii="Cambria Math" w:hAnsi="Cambria Math" w:eastAsia="宋体"/>
                        <w:szCs w:val="21"/>
                      </w:rPr>
                      <m:t>i,硐</m:t>
                    </m:r>
                    <m:ctrlPr>
                      <w:rPr>
                        <w:rFonts w:ascii="Cambria Math" w:hAnsi="Cambria Math" w:eastAsia="宋体"/>
                        <w:i/>
                        <w:szCs w:val="21"/>
                      </w:rPr>
                    </m:ctrlPr>
                  </m:sub>
                </m:sSub>
                <m:ctrlPr>
                  <w:rPr>
                    <w:rFonts w:ascii="Cambria Math" w:hAnsi="Cambria Math" w:eastAsia="宋体"/>
                    <w:i/>
                    <w:szCs w:val="21"/>
                  </w:rPr>
                </m:ctrlPr>
              </m:e>
            </m:nary>
            <m:ctrlPr>
              <w:rPr>
                <w:rFonts w:ascii="Cambria Math" w:hAnsi="Cambria Math" w:eastAsia="宋体"/>
                <w:i/>
                <w:szCs w:val="21"/>
              </w:rPr>
            </m:ctrlPr>
          </m:num>
          <m:den>
            <m:nary>
              <m:naryPr>
                <m:chr m:val="∑"/>
                <m:limLoc m:val="subSup"/>
                <m:ctrlPr>
                  <w:rPr>
                    <w:rFonts w:ascii="Cambria Math" w:hAnsi="Cambria Math" w:eastAsia="宋体"/>
                    <w:i/>
                    <w:szCs w:val="21"/>
                  </w:rPr>
                </m:ctrlPr>
              </m:naryPr>
              <m:sub>
                <m:r>
                  <m:rPr/>
                  <w:rPr>
                    <w:rFonts w:ascii="Cambria Math" w:hAnsi="Cambria Math" w:eastAsia="宋体"/>
                    <w:szCs w:val="21"/>
                  </w:rPr>
                  <m:t>1</m:t>
                </m:r>
                <m:ctrlPr>
                  <w:rPr>
                    <w:rFonts w:ascii="Cambria Math" w:hAnsi="Cambria Math" w:eastAsia="宋体"/>
                    <w:i/>
                    <w:szCs w:val="21"/>
                  </w:rPr>
                </m:ctrlPr>
              </m:sub>
              <m:sup>
                <m:r>
                  <m:rPr/>
                  <w:rPr>
                    <w:rFonts w:ascii="Cambria Math" w:hAnsi="Cambria Math" w:eastAsia="宋体"/>
                    <w:szCs w:val="21"/>
                  </w:rPr>
                  <m:t>n</m:t>
                </m:r>
                <m:ctrlPr>
                  <w:rPr>
                    <w:rFonts w:ascii="Cambria Math" w:hAnsi="Cambria Math" w:eastAsia="宋体"/>
                    <w:i/>
                    <w:szCs w:val="21"/>
                  </w:rPr>
                </m:ctrlPr>
              </m:sup>
              <m:e>
                <m:sSub>
                  <m:sSubPr>
                    <m:ctrlPr>
                      <w:rPr>
                        <w:rFonts w:ascii="Cambria Math" w:hAnsi="Cambria Math" w:eastAsia="宋体"/>
                        <w:i/>
                        <w:szCs w:val="21"/>
                      </w:rPr>
                    </m:ctrlPr>
                  </m:sSubPr>
                  <m:e>
                    <m:r>
                      <m:rPr/>
                      <w:rPr>
                        <w:rFonts w:ascii="Cambria Math" w:hAnsi="Cambria Math" w:eastAsia="宋体"/>
                        <w:szCs w:val="21"/>
                      </w:rPr>
                      <m:t>H</m:t>
                    </m:r>
                    <m:ctrlPr>
                      <w:rPr>
                        <w:rFonts w:ascii="Cambria Math" w:hAnsi="Cambria Math" w:eastAsia="宋体"/>
                        <w:i/>
                        <w:szCs w:val="21"/>
                      </w:rPr>
                    </m:ctrlPr>
                  </m:e>
                  <m:sub>
                    <m:r>
                      <m:rPr/>
                      <w:rPr>
                        <w:rFonts w:ascii="Cambria Math" w:hAnsi="Cambria Math" w:eastAsia="宋体"/>
                        <w:szCs w:val="21"/>
                      </w:rPr>
                      <m:t>i,硐</m:t>
                    </m:r>
                    <m:ctrlPr>
                      <w:rPr>
                        <w:rFonts w:ascii="Cambria Math" w:hAnsi="Cambria Math" w:eastAsia="宋体"/>
                        <w:i/>
                        <w:szCs w:val="21"/>
                      </w:rPr>
                    </m:ctrlPr>
                  </m:sub>
                </m:sSub>
                <m:ctrlPr>
                  <w:rPr>
                    <w:rFonts w:ascii="Cambria Math" w:hAnsi="Cambria Math" w:eastAsia="宋体"/>
                    <w:i/>
                    <w:szCs w:val="21"/>
                  </w:rPr>
                </m:ctrlPr>
              </m:e>
            </m:nary>
            <m:ctrlPr>
              <w:rPr>
                <w:rFonts w:ascii="Cambria Math" w:hAnsi="Cambria Math" w:eastAsia="宋体"/>
                <w:i/>
                <w:szCs w:val="21"/>
              </w:rPr>
            </m:ctrlPr>
          </m:den>
        </m:f>
      </m:oMath>
      <w:r>
        <w:rPr>
          <w:rFonts w:ascii="Times New Roman" w:hAnsi="Times New Roman" w:eastAsia="宋体"/>
          <w:szCs w:val="21"/>
        </w:rPr>
        <w:t>×100</w:t>
      </w:r>
      <w:r>
        <w:rPr>
          <w:rFonts w:hint="eastAsia" w:ascii="Times New Roman" w:hAnsi="Times New Roman" w:eastAsia="宋体"/>
          <w:szCs w:val="21"/>
        </w:rPr>
        <w:t xml:space="preserve"> …………………………………</w:t>
      </w:r>
      <w:r>
        <w:rPr>
          <w:rFonts w:ascii="Times New Roman" w:hAnsi="Times New Roman" w:eastAsia="宋体"/>
          <w:szCs w:val="21"/>
        </w:rPr>
        <w:t>（2）</w:t>
      </w:r>
    </w:p>
    <w:p w14:paraId="271A9613">
      <w:pPr>
        <w:pStyle w:val="46"/>
      </w:pPr>
      <w:r>
        <w:t>式中：</w:t>
      </w:r>
    </w:p>
    <w:p w14:paraId="41FC2FFE">
      <w:pPr>
        <w:pStyle w:val="46"/>
      </w:pPr>
      <w:r>
        <w:t>n</w:t>
      </w:r>
      <w:r>
        <w:rPr>
          <w:rFonts w:hint="eastAsia"/>
        </w:rPr>
        <w:t>——</w:t>
      </w:r>
      <w:r>
        <w:t>一个污染风险单元内矿硐的总数；</w:t>
      </w:r>
    </w:p>
    <w:p w14:paraId="02C9FBFE">
      <w:pPr>
        <w:pStyle w:val="46"/>
        <w:ind w:left="420" w:leftChars="200" w:firstLine="0" w:firstLineChars="0"/>
      </w:pPr>
      <w:r>
        <w:t>j</w:t>
      </w:r>
      <w:r>
        <w:rPr>
          <w:rFonts w:hint="eastAsia"/>
        </w:rPr>
        <w:t>——</w:t>
      </w:r>
      <w:r>
        <w:t>根据危害性得分高低进行排序，其中高中危害等级的矿硐最大序号为j（j</w:t>
      </w:r>
      <w:r>
        <w:rPr>
          <w:rFonts w:hint="eastAsia"/>
        </w:rPr>
        <w:t>≤</w:t>
      </w:r>
      <w:r>
        <w:t>n）；</w:t>
      </w:r>
    </w:p>
    <w:p w14:paraId="19D4F526">
      <w:pPr>
        <w:pStyle w:val="46"/>
      </w:pPr>
      <m:oMath>
        <m:nary>
          <m:naryPr>
            <m:chr m:val="∑"/>
            <m:limLoc m:val="subSup"/>
            <m:ctrlPr>
              <w:rPr>
                <w:rFonts w:ascii="Cambria Math" w:hAnsi="Cambria Math"/>
              </w:rPr>
            </m:ctrlPr>
          </m:naryPr>
          <m:sub>
            <m:r>
              <m:rPr>
                <m:sty m:val="p"/>
              </m:rPr>
              <w:rPr>
                <w:rFonts w:ascii="Cambria Math" w:hAnsi="Cambria Math"/>
              </w:rPr>
              <m:t>1</m:t>
            </m:r>
            <m:ctrlPr>
              <w:rPr>
                <w:rFonts w:ascii="Cambria Math" w:hAnsi="Cambria Math"/>
              </w:rPr>
            </m:ctrlPr>
          </m:sub>
          <m:sup>
            <m:r>
              <m:rPr>
                <m:sty m:val="p"/>
              </m:rPr>
              <w:rPr>
                <w:rFonts w:ascii="Cambria Math" w:hAnsi="Cambria Math"/>
              </w:rPr>
              <m:t>j</m:t>
            </m:r>
            <m:ctrlPr>
              <w:rPr>
                <w:rFonts w:ascii="Cambria Math" w:hAnsi="Cambria Math"/>
              </w:rPr>
            </m:ctrlPr>
          </m:sup>
          <m:e>
            <m:sSub>
              <m:sSubPr>
                <m:ctrlPr>
                  <w:rPr>
                    <w:rFonts w:ascii="Cambria Math" w:hAnsi="Cambria Math"/>
                  </w:rPr>
                </m:ctrlPr>
              </m:sSubPr>
              <m:e>
                <m:r>
                  <m:rPr>
                    <m:sty m:val="p"/>
                  </m:rPr>
                  <w:rPr>
                    <w:rFonts w:ascii="Cambria Math" w:hAnsi="Cambria Math"/>
                  </w:rPr>
                  <m:t>H</m:t>
                </m:r>
                <m:ctrlPr>
                  <w:rPr>
                    <w:rFonts w:ascii="Cambria Math" w:hAnsi="Cambria Math"/>
                  </w:rPr>
                </m:ctrlPr>
              </m:e>
              <m:sub>
                <m:r>
                  <m:rPr>
                    <m:sty m:val="p"/>
                  </m:rPr>
                  <w:rPr>
                    <w:rFonts w:ascii="Cambria Math" w:hAnsi="Cambria Math"/>
                  </w:rPr>
                  <m:t>i,硐</m:t>
                </m:r>
                <m:ctrlPr>
                  <w:rPr>
                    <w:rFonts w:ascii="Cambria Math" w:hAnsi="Cambria Math"/>
                  </w:rPr>
                </m:ctrlPr>
              </m:sub>
            </m:sSub>
            <m:ctrlPr>
              <w:rPr>
                <w:rFonts w:ascii="Cambria Math" w:hAnsi="Cambria Math"/>
              </w:rPr>
            </m:ctrlPr>
          </m:e>
        </m:nary>
      </m:oMath>
      <w:r>
        <w:rPr>
          <w:rFonts w:hint="eastAsia"/>
        </w:rPr>
        <w:t>——</w:t>
      </w:r>
      <w:r>
        <w:t>所有高中危害等级的矿硐危害性得分之和；</w:t>
      </w:r>
    </w:p>
    <w:p w14:paraId="19CD7D4A">
      <w:pPr>
        <w:pStyle w:val="46"/>
      </w:pPr>
      <m:oMath>
        <m:nary>
          <m:naryPr>
            <m:chr m:val="∑"/>
            <m:limLoc m:val="subSup"/>
            <m:ctrlPr>
              <w:rPr>
                <w:rFonts w:ascii="Cambria Math" w:hAnsi="Cambria Math"/>
              </w:rPr>
            </m:ctrlPr>
          </m:naryPr>
          <m:sub>
            <m:r>
              <m:rPr>
                <m:sty m:val="p"/>
              </m:rPr>
              <w:rPr>
                <w:rFonts w:ascii="Cambria Math" w:hAnsi="Cambria Math"/>
              </w:rPr>
              <m:t>1</m:t>
            </m:r>
            <m:ctrlPr>
              <w:rPr>
                <w:rFonts w:ascii="Cambria Math" w:hAnsi="Cambria Math"/>
              </w:rPr>
            </m:ctrlPr>
          </m:sub>
          <m:sup>
            <m:r>
              <m:rPr>
                <m:sty m:val="p"/>
              </m:rPr>
              <w:rPr>
                <w:rFonts w:ascii="Cambria Math" w:hAnsi="Cambria Math"/>
              </w:rPr>
              <m:t>n</m:t>
            </m:r>
            <m:ctrlPr>
              <w:rPr>
                <w:rFonts w:ascii="Cambria Math" w:hAnsi="Cambria Math"/>
              </w:rPr>
            </m:ctrlPr>
          </m:sup>
          <m:e>
            <m:sSub>
              <m:sSubPr>
                <m:ctrlPr>
                  <w:rPr>
                    <w:rFonts w:ascii="Cambria Math" w:hAnsi="Cambria Math"/>
                  </w:rPr>
                </m:ctrlPr>
              </m:sSubPr>
              <m:e>
                <m:r>
                  <m:rPr>
                    <m:sty m:val="p"/>
                  </m:rPr>
                  <w:rPr>
                    <w:rFonts w:ascii="Cambria Math" w:hAnsi="Cambria Math"/>
                  </w:rPr>
                  <m:t>H</m:t>
                </m:r>
                <m:ctrlPr>
                  <w:rPr>
                    <w:rFonts w:ascii="Cambria Math" w:hAnsi="Cambria Math"/>
                  </w:rPr>
                </m:ctrlPr>
              </m:e>
              <m:sub>
                <m:r>
                  <m:rPr>
                    <m:sty m:val="p"/>
                  </m:rPr>
                  <w:rPr>
                    <w:rFonts w:ascii="Cambria Math" w:hAnsi="Cambria Math"/>
                  </w:rPr>
                  <m:t>i,硐</m:t>
                </m:r>
                <m:ctrlPr>
                  <w:rPr>
                    <w:rFonts w:ascii="Cambria Math" w:hAnsi="Cambria Math"/>
                  </w:rPr>
                </m:ctrlPr>
              </m:sub>
            </m:sSub>
            <m:ctrlPr>
              <w:rPr>
                <w:rFonts w:ascii="Cambria Math" w:hAnsi="Cambria Math"/>
              </w:rPr>
            </m:ctrlPr>
          </m:e>
        </m:nary>
      </m:oMath>
      <w:r>
        <w:rPr>
          <w:rFonts w:hint="eastAsia"/>
        </w:rPr>
        <w:t>——</w:t>
      </w:r>
      <w:r>
        <w:t>所有矿硐的危害性得分之和。</w:t>
      </w:r>
    </w:p>
    <w:p w14:paraId="7B4C3920">
      <w:pPr>
        <w:ind w:firstLine="420" w:firstLineChars="200"/>
        <w:rPr>
          <w:rFonts w:ascii="Times New Roman" w:hAnsi="Times New Roman" w:eastAsia="宋体"/>
          <w:szCs w:val="21"/>
        </w:rPr>
      </w:pPr>
      <w:r>
        <w:rPr>
          <w:rFonts w:ascii="Times New Roman" w:hAnsi="Times New Roman" w:eastAsia="宋体"/>
          <w:szCs w:val="21"/>
        </w:rPr>
        <w:t>若一个风险单元内无高中危害等级的</w:t>
      </w:r>
      <w:r>
        <w:rPr>
          <w:rFonts w:hint="eastAsia" w:ascii="Times New Roman" w:hAnsi="Times New Roman" w:eastAsia="宋体"/>
          <w:szCs w:val="21"/>
        </w:rPr>
        <w:t>矿硐</w:t>
      </w:r>
      <w:r>
        <w:rPr>
          <w:rFonts w:ascii="Times New Roman" w:hAnsi="Times New Roman" w:eastAsia="宋体"/>
          <w:szCs w:val="21"/>
        </w:rPr>
        <w:t>，则</w:t>
      </w:r>
      <w:r>
        <w:rPr>
          <w:rFonts w:hint="eastAsia" w:ascii="Times New Roman" w:hAnsi="Times New Roman" w:eastAsia="宋体"/>
          <w:szCs w:val="21"/>
        </w:rPr>
        <w:t>公式（2）的分子取矿硐中的最大风险源危害性指数值</w:t>
      </w:r>
      <w:r>
        <w:rPr>
          <w:rFonts w:ascii="Times New Roman" w:hAnsi="Times New Roman" w:eastAsia="宋体"/>
          <w:szCs w:val="21"/>
        </w:rPr>
        <w:t>。</w:t>
      </w:r>
    </w:p>
    <w:p w14:paraId="36387823">
      <w:pPr>
        <w:pStyle w:val="65"/>
        <w:spacing w:before="156" w:after="156" w:line="360" w:lineRule="auto"/>
      </w:pPr>
      <w:r>
        <w:rPr>
          <w:rFonts w:hint="eastAsia"/>
        </w:rPr>
        <w:t>6.</w:t>
      </w:r>
      <w:r>
        <w:t>2.3</w:t>
      </w:r>
      <w:r>
        <w:rPr>
          <w:rFonts w:hint="eastAsia"/>
        </w:rPr>
        <w:t>风险源危害性指数计算</w:t>
      </w:r>
    </w:p>
    <w:p w14:paraId="2F65A5C4">
      <w:pPr>
        <w:ind w:firstLine="420" w:firstLineChars="200"/>
        <w:rPr>
          <w:rFonts w:ascii="Times New Roman" w:hAnsi="Times New Roman" w:eastAsia="宋体"/>
          <w:szCs w:val="21"/>
        </w:rPr>
      </w:pPr>
      <w:r>
        <w:rPr>
          <w:rFonts w:hint="eastAsia" w:ascii="Times New Roman" w:hAnsi="Times New Roman" w:eastAsia="宋体"/>
          <w:szCs w:val="21"/>
        </w:rPr>
        <w:t>分别量化评估</w:t>
      </w:r>
      <w:r>
        <w:rPr>
          <w:rFonts w:ascii="Times New Roman" w:hAnsi="Times New Roman" w:eastAsia="宋体"/>
          <w:szCs w:val="21"/>
        </w:rPr>
        <w:t>废渣、矿硐</w:t>
      </w:r>
      <w:r>
        <w:rPr>
          <w:rFonts w:hint="eastAsia" w:ascii="Times New Roman" w:hAnsi="Times New Roman" w:eastAsia="宋体"/>
          <w:szCs w:val="21"/>
        </w:rPr>
        <w:t>的风险源危害性指数，使用公式（3）计算一个风险单元内矿山环境风险源的危害性指数（H）。</w:t>
      </w:r>
    </w:p>
    <w:p w14:paraId="69951BE1">
      <w:pPr>
        <w:ind w:firstLine="2940" w:firstLineChars="1400"/>
        <w:jc w:val="right"/>
        <w:rPr>
          <w:rFonts w:ascii="Times New Roman" w:hAnsi="Times New Roman" w:eastAsia="宋体"/>
          <w:szCs w:val="21"/>
        </w:rPr>
      </w:pPr>
      <m:oMath>
        <m:r>
          <m:rPr/>
          <w:rPr>
            <w:rFonts w:ascii="Cambria Math" w:hAnsi="Cambria Math" w:eastAsia="宋体"/>
            <w:szCs w:val="21"/>
          </w:rPr>
          <m:t>H=</m:t>
        </m:r>
        <m:rad>
          <m:radPr>
            <m:degHide m:val="1"/>
            <m:ctrlPr>
              <w:rPr>
                <w:rFonts w:ascii="Cambria Math" w:hAnsi="Cambria Math" w:eastAsia="宋体"/>
                <w:i/>
                <w:szCs w:val="21"/>
              </w:rPr>
            </m:ctrlPr>
          </m:radPr>
          <m:deg>
            <m:ctrlPr>
              <w:rPr>
                <w:rFonts w:ascii="Cambria Math" w:hAnsi="Cambria Math" w:eastAsia="宋体"/>
                <w:i/>
                <w:szCs w:val="21"/>
              </w:rPr>
            </m:ctrlPr>
          </m:deg>
          <m:e>
            <m:sSub>
              <m:sSubPr>
                <m:ctrlPr>
                  <w:rPr>
                    <w:rFonts w:ascii="Cambria Math" w:hAnsi="Cambria Math" w:eastAsia="宋体"/>
                    <w:i/>
                    <w:szCs w:val="21"/>
                  </w:rPr>
                </m:ctrlPr>
              </m:sSubPr>
              <m:e>
                <m:r>
                  <m:rPr/>
                  <w:rPr>
                    <w:rFonts w:ascii="Cambria Math" w:hAnsi="Cambria Math" w:eastAsia="宋体"/>
                    <w:szCs w:val="21"/>
                  </w:rPr>
                  <m:t>H</m:t>
                </m:r>
                <m:ctrlPr>
                  <w:rPr>
                    <w:rFonts w:ascii="Cambria Math" w:hAnsi="Cambria Math" w:eastAsia="宋体"/>
                    <w:i/>
                    <w:szCs w:val="21"/>
                  </w:rPr>
                </m:ctrlPr>
              </m:e>
              <m:sub>
                <m:r>
                  <m:rPr/>
                  <w:rPr>
                    <w:rFonts w:hint="eastAsia" w:ascii="Cambria Math" w:hAnsi="Cambria Math" w:eastAsia="宋体"/>
                    <w:szCs w:val="21"/>
                  </w:rPr>
                  <m:t>渣</m:t>
                </m:r>
                <m:ctrlPr>
                  <w:rPr>
                    <w:rFonts w:ascii="Cambria Math" w:hAnsi="Cambria Math" w:eastAsia="宋体"/>
                    <w:i/>
                    <w:szCs w:val="21"/>
                  </w:rPr>
                </m:ctrlPr>
              </m:sub>
            </m:sSub>
            <m:r>
              <m:rPr/>
              <w:rPr>
                <w:rFonts w:hint="eastAsia" w:ascii="Cambria Math" w:hAnsi="Cambria Math" w:eastAsia="宋体"/>
                <w:szCs w:val="21"/>
              </w:rPr>
              <m:t>×</m:t>
            </m:r>
            <m:sSub>
              <m:sSubPr>
                <m:ctrlPr>
                  <w:rPr>
                    <w:rFonts w:ascii="Cambria Math" w:hAnsi="Cambria Math" w:eastAsia="宋体"/>
                    <w:i/>
                    <w:szCs w:val="21"/>
                  </w:rPr>
                </m:ctrlPr>
              </m:sSubPr>
              <m:e>
                <m:r>
                  <m:rPr/>
                  <w:rPr>
                    <w:rFonts w:ascii="Cambria Math" w:hAnsi="Cambria Math" w:eastAsia="宋体"/>
                    <w:szCs w:val="21"/>
                  </w:rPr>
                  <m:t>H</m:t>
                </m:r>
                <m:ctrlPr>
                  <w:rPr>
                    <w:rFonts w:ascii="Cambria Math" w:hAnsi="Cambria Math" w:eastAsia="宋体"/>
                    <w:i/>
                    <w:szCs w:val="21"/>
                  </w:rPr>
                </m:ctrlPr>
              </m:e>
              <m:sub>
                <m:r>
                  <m:rPr/>
                  <w:rPr>
                    <w:rFonts w:hint="eastAsia" w:ascii="Cambria Math" w:hAnsi="Cambria Math" w:eastAsia="宋体"/>
                    <w:szCs w:val="21"/>
                  </w:rPr>
                  <m:t>硐</m:t>
                </m:r>
                <m:ctrlPr>
                  <w:rPr>
                    <w:rFonts w:ascii="Cambria Math" w:hAnsi="Cambria Math" w:eastAsia="宋体"/>
                    <w:i/>
                    <w:szCs w:val="21"/>
                  </w:rPr>
                </m:ctrlPr>
              </m:sub>
            </m:sSub>
            <m:ctrlPr>
              <w:rPr>
                <w:rFonts w:ascii="Cambria Math" w:hAnsi="Cambria Math" w:eastAsia="宋体"/>
                <w:i/>
                <w:szCs w:val="21"/>
              </w:rPr>
            </m:ctrlPr>
          </m:e>
        </m:rad>
      </m:oMath>
      <w:r>
        <w:rPr>
          <w:rFonts w:hint="eastAsia" w:ascii="Times New Roman" w:hAnsi="Times New Roman" w:eastAsia="宋体"/>
          <w:szCs w:val="21"/>
        </w:rPr>
        <w:t xml:space="preserve">  …………………………………（3）</w:t>
      </w:r>
    </w:p>
    <w:p w14:paraId="185B721D">
      <w:pPr>
        <w:pStyle w:val="46"/>
      </w:pPr>
      <w:r>
        <w:rPr>
          <w:rFonts w:hint="eastAsia"/>
        </w:rPr>
        <w:t>式中：</w:t>
      </w:r>
    </w:p>
    <w:p w14:paraId="0735812E">
      <w:pPr>
        <w:pStyle w:val="46"/>
      </w:pPr>
      <w:r>
        <w:rPr>
          <w:rFonts w:hint="eastAsia"/>
        </w:rPr>
        <w:t>H——</w:t>
      </w:r>
      <w:r>
        <w:rPr>
          <w:rFonts w:hint="eastAsia" w:ascii="Times New Roman"/>
          <w:szCs w:val="21"/>
        </w:rPr>
        <w:t>一个风险单元内所有矿山环境风险源的危害性指数。</w:t>
      </w:r>
    </w:p>
    <w:p w14:paraId="2AA96F7E">
      <w:pPr>
        <w:pStyle w:val="66"/>
        <w:spacing w:before="156" w:after="156"/>
        <w:rPr>
          <w:b/>
          <w:bCs/>
        </w:rPr>
      </w:pPr>
      <w:bookmarkStart w:id="77" w:name="_Toc185097903"/>
      <w:bookmarkStart w:id="78" w:name="_Toc193268278"/>
      <w:bookmarkStart w:id="79" w:name="_Toc193189064"/>
      <w:bookmarkStart w:id="80" w:name="_Toc194588993"/>
      <w:r>
        <w:rPr>
          <w:rFonts w:hint="eastAsia"/>
        </w:rPr>
        <w:t>6.3第二层次风险量化评估</w:t>
      </w:r>
      <w:bookmarkEnd w:id="77"/>
      <w:bookmarkEnd w:id="78"/>
      <w:bookmarkEnd w:id="79"/>
      <w:bookmarkEnd w:id="80"/>
    </w:p>
    <w:p w14:paraId="41270DF0">
      <w:pPr>
        <w:pStyle w:val="65"/>
        <w:spacing w:before="156" w:after="156"/>
      </w:pPr>
      <w:r>
        <w:rPr>
          <w:rFonts w:hint="eastAsia"/>
        </w:rPr>
        <w:t>6.3.1污染物迁移性量化</w:t>
      </w:r>
    </w:p>
    <w:p w14:paraId="124E8FE0">
      <w:pPr>
        <w:pStyle w:val="46"/>
      </w:pPr>
      <w:r>
        <w:t>以污染物迁移性（M）为目标层，以特征污染物的地下水迁移、地表水迁移为准则层构建评估指标体系, 指标及赋值方法见附录B。</w:t>
      </w:r>
    </w:p>
    <w:p w14:paraId="6AF23620">
      <w:pPr>
        <w:pStyle w:val="65"/>
        <w:spacing w:before="156" w:after="156"/>
      </w:pPr>
      <w:r>
        <w:rPr>
          <w:rFonts w:hint="eastAsia"/>
        </w:rPr>
        <w:t>6.3.2受体敏感性量化</w:t>
      </w:r>
    </w:p>
    <w:p w14:paraId="69135AD7">
      <w:pPr>
        <w:pStyle w:val="46"/>
      </w:pPr>
      <w:r>
        <w:rPr>
          <w:rFonts w:hint="eastAsia"/>
        </w:rPr>
        <w:t>以环境敏感性（S）为目标层，以风险单元内和外部的水体敏感性、人群敏感性、土壤敏感性为准则层构建评估指标体系，指标及赋值方法见附录C。</w:t>
      </w:r>
    </w:p>
    <w:p w14:paraId="2690D5A1">
      <w:pPr>
        <w:pStyle w:val="65"/>
        <w:spacing w:before="156" w:after="156"/>
      </w:pPr>
      <w:r>
        <w:rPr>
          <w:rFonts w:hint="eastAsia"/>
        </w:rPr>
        <w:t>6.3.3风险单元风险指数计算</w:t>
      </w:r>
    </w:p>
    <w:p w14:paraId="1D604E11">
      <w:pPr>
        <w:pStyle w:val="46"/>
      </w:pPr>
      <w:bookmarkStart w:id="81" w:name="_Hlk193197501"/>
      <w:r>
        <w:rPr>
          <w:rFonts w:hint="eastAsia"/>
        </w:rPr>
        <w:t>综合风险源危害性（H）、污染物迁移性（M）、环境敏感性（S）三方面的风险指数，以公式（4）计算涉金属矿山污染风险单元的环境风险指数（R）</w:t>
      </w:r>
      <w:bookmarkEnd w:id="81"/>
      <w:r>
        <w:rPr>
          <w:rFonts w:hint="eastAsia"/>
        </w:rPr>
        <w:t>：</w:t>
      </w:r>
    </w:p>
    <w:p w14:paraId="129FAE15">
      <w:pPr>
        <w:pStyle w:val="46"/>
        <w:spacing w:line="360" w:lineRule="auto"/>
        <w:jc w:val="right"/>
      </w:pPr>
      <w:r>
        <w:t xml:space="preserve">R=0.55H+0.16M+0.29S </w:t>
      </w:r>
      <w:r>
        <w:rPr>
          <w:rFonts w:hint="eastAsia" w:ascii="Times New Roman"/>
          <w:szCs w:val="21"/>
        </w:rPr>
        <w:t>…………………………………</w:t>
      </w:r>
      <w:r>
        <w:rPr>
          <w:rFonts w:hint="eastAsia"/>
        </w:rPr>
        <w:t>（4）</w:t>
      </w:r>
    </w:p>
    <w:p w14:paraId="12E60F2F">
      <w:pPr>
        <w:pStyle w:val="46"/>
      </w:pPr>
      <w:r>
        <w:rPr>
          <w:rFonts w:hint="eastAsia"/>
        </w:rPr>
        <w:t>式中：</w:t>
      </w:r>
    </w:p>
    <w:p w14:paraId="1EE1305A">
      <w:pPr>
        <w:pStyle w:val="46"/>
      </w:pPr>
      <w:r>
        <w:rPr>
          <w:rFonts w:hint="eastAsia"/>
        </w:rPr>
        <w:t>R——涉金属矿山污染风险单元的环境风险指数；</w:t>
      </w:r>
    </w:p>
    <w:p w14:paraId="4008C1F7">
      <w:pPr>
        <w:pStyle w:val="46"/>
      </w:pPr>
      <w:r>
        <w:rPr>
          <w:rFonts w:hint="eastAsia"/>
        </w:rPr>
        <w:t>M——涉金属矿山污染风险单元的污染物迁移性指数；</w:t>
      </w:r>
    </w:p>
    <w:p w14:paraId="2B05EF55">
      <w:pPr>
        <w:pStyle w:val="46"/>
      </w:pPr>
      <w:r>
        <w:rPr>
          <w:rFonts w:hint="eastAsia"/>
        </w:rPr>
        <w:t>S——涉金属矿山污染风险单元的环境敏感性指数。</w:t>
      </w:r>
    </w:p>
    <w:p w14:paraId="1DBB581D">
      <w:pPr>
        <w:pStyle w:val="66"/>
        <w:spacing w:before="156" w:after="156"/>
        <w:rPr>
          <w:b/>
          <w:bCs/>
        </w:rPr>
      </w:pPr>
      <w:bookmarkStart w:id="82" w:name="_Toc182575439"/>
      <w:bookmarkStart w:id="83" w:name="_Toc183542811"/>
      <w:bookmarkStart w:id="84" w:name="_Toc185097904"/>
      <w:bookmarkStart w:id="85" w:name="_Toc193189065"/>
      <w:bookmarkStart w:id="86" w:name="_Toc193268279"/>
      <w:bookmarkStart w:id="87" w:name="_Toc194588994"/>
      <w:r>
        <w:rPr>
          <w:rFonts w:hint="eastAsia"/>
        </w:rPr>
        <w:t>6.4风险分级</w:t>
      </w:r>
      <w:bookmarkEnd w:id="82"/>
      <w:bookmarkEnd w:id="83"/>
      <w:bookmarkEnd w:id="84"/>
      <w:bookmarkEnd w:id="85"/>
      <w:bookmarkEnd w:id="86"/>
      <w:bookmarkEnd w:id="87"/>
    </w:p>
    <w:p w14:paraId="373007E8">
      <w:pPr>
        <w:pStyle w:val="65"/>
        <w:spacing w:before="156" w:after="156" w:line="360" w:lineRule="auto"/>
      </w:pPr>
      <w:r>
        <w:rPr>
          <w:rFonts w:hint="eastAsia"/>
        </w:rPr>
        <w:t>6.4.1第一层次风险等级划分</w:t>
      </w:r>
    </w:p>
    <w:p w14:paraId="48AC3209">
      <w:pPr>
        <w:pStyle w:val="46"/>
        <w:jc w:val="left"/>
      </w:pPr>
      <w:bookmarkStart w:id="88" w:name="_Hlk182948893"/>
      <w:r>
        <w:rPr>
          <w:rFonts w:hint="eastAsia"/>
        </w:rPr>
        <w:t>根据废渣堆、矿硐等各个风险源的</w:t>
      </w:r>
      <w:bookmarkStart w:id="89" w:name="_Hlk185102300"/>
      <w:r>
        <w:rPr>
          <w:rFonts w:hint="eastAsia"/>
        </w:rPr>
        <w:t>风险量化评估数值大小，将其危害性等级划分为高危害性、中危害性、低危害性三个等级，</w:t>
      </w:r>
      <w:bookmarkEnd w:id="89"/>
      <w:r>
        <w:rPr>
          <w:rFonts w:hint="eastAsia"/>
        </w:rPr>
        <w:t>风险源危害性等级划分原则见表1。</w:t>
      </w:r>
    </w:p>
    <w:p w14:paraId="11086C8C">
      <w:pPr>
        <w:pStyle w:val="69"/>
        <w:spacing w:before="156" w:after="156"/>
        <w:rPr>
          <w:rFonts w:hint="eastAsia" w:ascii="等线" w:hAnsi="等线" w:eastAsia="等线"/>
          <w:sz w:val="20"/>
          <w:szCs w:val="22"/>
        </w:rPr>
      </w:pPr>
      <w:r>
        <w:rPr>
          <w:rFonts w:hint="eastAsia" w:ascii="等线" w:hAnsi="等线" w:eastAsia="等线"/>
          <w:sz w:val="20"/>
          <w:szCs w:val="22"/>
        </w:rPr>
        <w:t>风险源危害性等级划分原则</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6991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48" w:type="dxa"/>
            <w:vAlign w:val="center"/>
          </w:tcPr>
          <w:p w14:paraId="0B38F235">
            <w:pPr>
              <w:jc w:val="center"/>
              <w:rPr>
                <w:rFonts w:ascii="Times New Roman" w:hAnsi="Times New Roman" w:eastAsia="宋体"/>
                <w:sz w:val="20"/>
                <w:szCs w:val="21"/>
              </w:rPr>
            </w:pPr>
            <w:r>
              <w:rPr>
                <w:rFonts w:hint="eastAsia" w:ascii="Times New Roman" w:hAnsi="Times New Roman" w:eastAsia="宋体"/>
                <w:sz w:val="20"/>
                <w:szCs w:val="21"/>
              </w:rPr>
              <w:t>风险源危害性</w:t>
            </w:r>
            <w:r>
              <w:rPr>
                <w:rFonts w:ascii="Times New Roman" w:hAnsi="Times New Roman" w:eastAsia="宋体"/>
                <w:sz w:val="20"/>
                <w:szCs w:val="21"/>
              </w:rPr>
              <w:t>指数</w:t>
            </w:r>
          </w:p>
        </w:tc>
        <w:tc>
          <w:tcPr>
            <w:tcW w:w="4148" w:type="dxa"/>
            <w:vAlign w:val="center"/>
          </w:tcPr>
          <w:p w14:paraId="22B08956">
            <w:pPr>
              <w:jc w:val="center"/>
              <w:rPr>
                <w:rFonts w:ascii="Times New Roman" w:hAnsi="Times New Roman" w:eastAsia="宋体"/>
                <w:sz w:val="20"/>
                <w:szCs w:val="21"/>
              </w:rPr>
            </w:pPr>
            <w:r>
              <w:rPr>
                <w:rFonts w:hint="eastAsia" w:ascii="Times New Roman" w:hAnsi="Times New Roman" w:eastAsia="宋体"/>
                <w:sz w:val="20"/>
                <w:szCs w:val="21"/>
              </w:rPr>
              <w:t>风险源危害性</w:t>
            </w:r>
            <w:r>
              <w:rPr>
                <w:rFonts w:ascii="Times New Roman" w:hAnsi="Times New Roman" w:eastAsia="宋体"/>
                <w:sz w:val="20"/>
                <w:szCs w:val="21"/>
              </w:rPr>
              <w:t>等级</w:t>
            </w:r>
          </w:p>
        </w:tc>
      </w:tr>
      <w:tr w14:paraId="5B89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48" w:type="dxa"/>
            <w:vAlign w:val="center"/>
          </w:tcPr>
          <w:p w14:paraId="0C8BE493">
            <w:pPr>
              <w:jc w:val="center"/>
              <w:rPr>
                <w:rFonts w:ascii="Times New Roman" w:hAnsi="Times New Roman" w:eastAsia="宋体"/>
                <w:sz w:val="20"/>
                <w:szCs w:val="21"/>
              </w:rPr>
            </w:pPr>
            <w:r>
              <w:rPr>
                <w:rFonts w:ascii="Times New Roman" w:hAnsi="Times New Roman" w:eastAsia="宋体"/>
                <w:sz w:val="20"/>
                <w:szCs w:val="21"/>
              </w:rPr>
              <w:t>≥60</w:t>
            </w:r>
          </w:p>
        </w:tc>
        <w:tc>
          <w:tcPr>
            <w:tcW w:w="4148" w:type="dxa"/>
            <w:vAlign w:val="center"/>
          </w:tcPr>
          <w:p w14:paraId="6DCC8EA7">
            <w:pPr>
              <w:jc w:val="center"/>
              <w:rPr>
                <w:rFonts w:ascii="Times New Roman" w:hAnsi="Times New Roman" w:eastAsia="宋体"/>
                <w:sz w:val="20"/>
                <w:szCs w:val="21"/>
              </w:rPr>
            </w:pPr>
            <w:r>
              <w:rPr>
                <w:rFonts w:hint="eastAsia" w:ascii="Times New Roman" w:hAnsi="Times New Roman" w:eastAsia="宋体"/>
                <w:sz w:val="20"/>
                <w:szCs w:val="21"/>
              </w:rPr>
              <w:t>高危害性</w:t>
            </w:r>
          </w:p>
        </w:tc>
      </w:tr>
      <w:tr w14:paraId="50D5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48" w:type="dxa"/>
            <w:vAlign w:val="center"/>
          </w:tcPr>
          <w:p w14:paraId="44F89AF0">
            <w:pPr>
              <w:jc w:val="center"/>
              <w:rPr>
                <w:rFonts w:ascii="Times New Roman" w:hAnsi="Times New Roman" w:eastAsia="宋体"/>
                <w:sz w:val="20"/>
                <w:szCs w:val="21"/>
              </w:rPr>
            </w:pPr>
            <w:r>
              <w:rPr>
                <w:rFonts w:ascii="Times New Roman" w:hAnsi="Times New Roman" w:eastAsia="宋体"/>
                <w:sz w:val="20"/>
                <w:szCs w:val="21"/>
              </w:rPr>
              <w:t>[</w:t>
            </w:r>
            <w:r>
              <w:rPr>
                <w:rFonts w:hint="eastAsia" w:ascii="Times New Roman" w:hAnsi="Times New Roman" w:eastAsia="宋体"/>
                <w:sz w:val="20"/>
                <w:szCs w:val="21"/>
              </w:rPr>
              <w:t>3</w:t>
            </w:r>
            <w:r>
              <w:rPr>
                <w:rFonts w:ascii="Times New Roman" w:hAnsi="Times New Roman" w:eastAsia="宋体"/>
                <w:sz w:val="20"/>
                <w:szCs w:val="21"/>
              </w:rPr>
              <w:t>0,</w:t>
            </w:r>
            <w:r>
              <w:rPr>
                <w:rFonts w:hint="eastAsia" w:ascii="Times New Roman" w:hAnsi="Times New Roman" w:eastAsia="宋体"/>
                <w:sz w:val="20"/>
                <w:szCs w:val="21"/>
              </w:rPr>
              <w:t>6</w:t>
            </w:r>
            <w:r>
              <w:rPr>
                <w:rFonts w:ascii="Times New Roman" w:hAnsi="Times New Roman" w:eastAsia="宋体"/>
                <w:sz w:val="20"/>
                <w:szCs w:val="21"/>
              </w:rPr>
              <w:t>0)</w:t>
            </w:r>
          </w:p>
        </w:tc>
        <w:tc>
          <w:tcPr>
            <w:tcW w:w="4148" w:type="dxa"/>
            <w:vAlign w:val="center"/>
          </w:tcPr>
          <w:p w14:paraId="105CBD43">
            <w:pPr>
              <w:jc w:val="center"/>
              <w:rPr>
                <w:rFonts w:ascii="Times New Roman" w:hAnsi="Times New Roman" w:eastAsia="宋体"/>
                <w:sz w:val="20"/>
                <w:szCs w:val="21"/>
              </w:rPr>
            </w:pPr>
            <w:r>
              <w:rPr>
                <w:rFonts w:hint="eastAsia" w:ascii="Times New Roman" w:hAnsi="Times New Roman" w:eastAsia="宋体"/>
                <w:sz w:val="20"/>
                <w:szCs w:val="21"/>
              </w:rPr>
              <w:t>中危害性</w:t>
            </w:r>
          </w:p>
        </w:tc>
      </w:tr>
      <w:tr w14:paraId="5C86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48" w:type="dxa"/>
            <w:vAlign w:val="center"/>
          </w:tcPr>
          <w:p w14:paraId="24B0FECA">
            <w:pPr>
              <w:jc w:val="center"/>
              <w:rPr>
                <w:rFonts w:ascii="Times New Roman" w:hAnsi="Times New Roman" w:eastAsia="宋体"/>
                <w:sz w:val="20"/>
                <w:szCs w:val="21"/>
              </w:rPr>
            </w:pPr>
            <w:r>
              <w:rPr>
                <w:rFonts w:ascii="Times New Roman" w:hAnsi="Times New Roman" w:eastAsia="宋体"/>
                <w:sz w:val="20"/>
                <w:szCs w:val="21"/>
              </w:rPr>
              <w:t>＜30</w:t>
            </w:r>
          </w:p>
        </w:tc>
        <w:tc>
          <w:tcPr>
            <w:tcW w:w="4148" w:type="dxa"/>
            <w:vAlign w:val="center"/>
          </w:tcPr>
          <w:p w14:paraId="352B6320">
            <w:pPr>
              <w:jc w:val="center"/>
              <w:rPr>
                <w:rFonts w:ascii="Times New Roman" w:hAnsi="Times New Roman" w:eastAsia="宋体"/>
                <w:sz w:val="20"/>
                <w:szCs w:val="21"/>
              </w:rPr>
            </w:pPr>
            <w:r>
              <w:rPr>
                <w:rFonts w:hint="eastAsia" w:ascii="Times New Roman" w:hAnsi="Times New Roman" w:eastAsia="宋体"/>
                <w:sz w:val="20"/>
                <w:szCs w:val="21"/>
              </w:rPr>
              <w:t>低危害性</w:t>
            </w:r>
          </w:p>
        </w:tc>
      </w:tr>
    </w:tbl>
    <w:p w14:paraId="317586B1">
      <w:pPr>
        <w:pStyle w:val="65"/>
        <w:spacing w:before="156" w:after="156" w:line="360" w:lineRule="auto"/>
      </w:pPr>
      <w:r>
        <w:rPr>
          <w:rFonts w:hint="eastAsia"/>
        </w:rPr>
        <w:t>6.4.2第二层次风险等级划分</w:t>
      </w:r>
    </w:p>
    <w:p w14:paraId="04BCF80A">
      <w:pPr>
        <w:pStyle w:val="46"/>
      </w:pPr>
      <w:r>
        <w:rPr>
          <w:rFonts w:hint="eastAsia"/>
        </w:rPr>
        <w:t>根据环境风险指数的数值大小，将涉金属矿山污染风险单元的风险等级划分为高风险、中风险、低风险三个等级，环境风险等级划分原则见表2。</w:t>
      </w:r>
    </w:p>
    <w:p w14:paraId="608452E6">
      <w:pPr>
        <w:pStyle w:val="69"/>
        <w:spacing w:before="156" w:after="156"/>
        <w:rPr>
          <w:rFonts w:hint="eastAsia" w:ascii="等线" w:hAnsi="等线" w:eastAsia="等线"/>
          <w:sz w:val="20"/>
          <w:szCs w:val="22"/>
        </w:rPr>
      </w:pPr>
      <w:r>
        <w:rPr>
          <w:rFonts w:hint="eastAsia" w:ascii="等线" w:hAnsi="等线" w:eastAsia="等线"/>
          <w:sz w:val="20"/>
          <w:szCs w:val="22"/>
        </w:rPr>
        <w:t>环境风险等级划分原则</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14:paraId="2285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4148" w:type="dxa"/>
            <w:vAlign w:val="center"/>
          </w:tcPr>
          <w:p w14:paraId="4F6D3565">
            <w:pPr>
              <w:jc w:val="center"/>
              <w:rPr>
                <w:rFonts w:ascii="Times New Roman" w:hAnsi="Times New Roman" w:eastAsia="宋体"/>
                <w:sz w:val="20"/>
                <w:szCs w:val="20"/>
              </w:rPr>
            </w:pPr>
            <w:r>
              <w:rPr>
                <w:rFonts w:ascii="Times New Roman" w:hAnsi="Times New Roman" w:eastAsia="宋体"/>
                <w:sz w:val="20"/>
                <w:szCs w:val="20"/>
              </w:rPr>
              <w:t>环境风险指数</w:t>
            </w:r>
          </w:p>
        </w:tc>
        <w:tc>
          <w:tcPr>
            <w:tcW w:w="4148" w:type="dxa"/>
            <w:vAlign w:val="center"/>
          </w:tcPr>
          <w:p w14:paraId="2BA6367D">
            <w:pPr>
              <w:jc w:val="center"/>
              <w:rPr>
                <w:rFonts w:ascii="Times New Roman" w:hAnsi="Times New Roman" w:eastAsia="宋体"/>
                <w:sz w:val="20"/>
                <w:szCs w:val="20"/>
              </w:rPr>
            </w:pPr>
            <w:r>
              <w:rPr>
                <w:rFonts w:ascii="Times New Roman" w:hAnsi="Times New Roman" w:eastAsia="宋体"/>
                <w:sz w:val="20"/>
                <w:szCs w:val="20"/>
              </w:rPr>
              <w:t>环境风险等级</w:t>
            </w:r>
          </w:p>
        </w:tc>
      </w:tr>
      <w:tr w14:paraId="6BBF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48" w:type="dxa"/>
            <w:vAlign w:val="center"/>
          </w:tcPr>
          <w:p w14:paraId="696562EE">
            <w:pPr>
              <w:jc w:val="center"/>
              <w:rPr>
                <w:rFonts w:ascii="Times New Roman" w:hAnsi="Times New Roman" w:eastAsia="宋体"/>
                <w:sz w:val="20"/>
                <w:szCs w:val="20"/>
              </w:rPr>
            </w:pPr>
            <w:r>
              <w:rPr>
                <w:rFonts w:ascii="Times New Roman" w:hAnsi="Times New Roman" w:eastAsia="宋体"/>
                <w:sz w:val="20"/>
                <w:szCs w:val="20"/>
              </w:rPr>
              <w:t>≥60</w:t>
            </w:r>
          </w:p>
        </w:tc>
        <w:tc>
          <w:tcPr>
            <w:tcW w:w="4148" w:type="dxa"/>
            <w:vAlign w:val="center"/>
          </w:tcPr>
          <w:p w14:paraId="71913C32">
            <w:pPr>
              <w:jc w:val="center"/>
              <w:rPr>
                <w:rFonts w:ascii="Times New Roman" w:hAnsi="Times New Roman" w:eastAsia="宋体"/>
                <w:sz w:val="20"/>
                <w:szCs w:val="20"/>
              </w:rPr>
            </w:pPr>
            <w:r>
              <w:rPr>
                <w:rFonts w:hint="eastAsia" w:ascii="Times New Roman" w:hAnsi="Times New Roman" w:eastAsia="宋体"/>
                <w:sz w:val="20"/>
                <w:szCs w:val="20"/>
              </w:rPr>
              <w:t>高风险</w:t>
            </w:r>
          </w:p>
        </w:tc>
      </w:tr>
      <w:tr w14:paraId="2617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48" w:type="dxa"/>
            <w:vAlign w:val="center"/>
          </w:tcPr>
          <w:p w14:paraId="20563AC8">
            <w:pPr>
              <w:jc w:val="center"/>
              <w:rPr>
                <w:rFonts w:ascii="Times New Roman" w:hAnsi="Times New Roman" w:eastAsia="宋体"/>
                <w:sz w:val="20"/>
                <w:szCs w:val="20"/>
              </w:rPr>
            </w:pPr>
            <w:r>
              <w:rPr>
                <w:rFonts w:ascii="Times New Roman" w:hAnsi="Times New Roman" w:eastAsia="宋体"/>
                <w:sz w:val="20"/>
                <w:szCs w:val="20"/>
              </w:rPr>
              <w:t>[</w:t>
            </w:r>
            <w:r>
              <w:rPr>
                <w:rFonts w:hint="eastAsia" w:ascii="Times New Roman" w:hAnsi="Times New Roman" w:eastAsia="宋体"/>
                <w:sz w:val="20"/>
                <w:szCs w:val="20"/>
              </w:rPr>
              <w:t>3</w:t>
            </w:r>
            <w:r>
              <w:rPr>
                <w:rFonts w:ascii="Times New Roman" w:hAnsi="Times New Roman" w:eastAsia="宋体"/>
                <w:sz w:val="20"/>
                <w:szCs w:val="20"/>
              </w:rPr>
              <w:t>0,</w:t>
            </w:r>
            <w:r>
              <w:rPr>
                <w:rFonts w:hint="eastAsia" w:ascii="Times New Roman" w:hAnsi="Times New Roman" w:eastAsia="宋体"/>
                <w:sz w:val="20"/>
                <w:szCs w:val="20"/>
              </w:rPr>
              <w:t>6</w:t>
            </w:r>
            <w:r>
              <w:rPr>
                <w:rFonts w:ascii="Times New Roman" w:hAnsi="Times New Roman" w:eastAsia="宋体"/>
                <w:sz w:val="20"/>
                <w:szCs w:val="20"/>
              </w:rPr>
              <w:t>0)</w:t>
            </w:r>
          </w:p>
        </w:tc>
        <w:tc>
          <w:tcPr>
            <w:tcW w:w="4148" w:type="dxa"/>
            <w:vAlign w:val="center"/>
          </w:tcPr>
          <w:p w14:paraId="2719DBF5">
            <w:pPr>
              <w:jc w:val="center"/>
              <w:rPr>
                <w:rFonts w:ascii="Times New Roman" w:hAnsi="Times New Roman" w:eastAsia="宋体"/>
                <w:sz w:val="20"/>
                <w:szCs w:val="20"/>
              </w:rPr>
            </w:pPr>
            <w:r>
              <w:rPr>
                <w:rFonts w:hint="eastAsia" w:ascii="Times New Roman" w:hAnsi="Times New Roman" w:eastAsia="宋体"/>
                <w:sz w:val="20"/>
                <w:szCs w:val="20"/>
              </w:rPr>
              <w:t>中风险</w:t>
            </w:r>
          </w:p>
        </w:tc>
      </w:tr>
      <w:tr w14:paraId="3B27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148" w:type="dxa"/>
            <w:vAlign w:val="center"/>
          </w:tcPr>
          <w:p w14:paraId="0140900F">
            <w:pPr>
              <w:jc w:val="center"/>
              <w:rPr>
                <w:rFonts w:ascii="Times New Roman" w:hAnsi="Times New Roman" w:eastAsia="宋体"/>
                <w:sz w:val="20"/>
                <w:szCs w:val="20"/>
              </w:rPr>
            </w:pPr>
            <w:r>
              <w:rPr>
                <w:rFonts w:ascii="Times New Roman" w:hAnsi="Times New Roman" w:eastAsia="宋体"/>
                <w:sz w:val="20"/>
                <w:szCs w:val="20"/>
              </w:rPr>
              <w:t>＜30</w:t>
            </w:r>
          </w:p>
        </w:tc>
        <w:tc>
          <w:tcPr>
            <w:tcW w:w="4148" w:type="dxa"/>
            <w:vAlign w:val="center"/>
          </w:tcPr>
          <w:p w14:paraId="24E332F8">
            <w:pPr>
              <w:jc w:val="center"/>
              <w:rPr>
                <w:rFonts w:ascii="Times New Roman" w:hAnsi="Times New Roman" w:eastAsia="宋体"/>
                <w:sz w:val="20"/>
                <w:szCs w:val="20"/>
              </w:rPr>
            </w:pPr>
            <w:r>
              <w:rPr>
                <w:rFonts w:hint="eastAsia" w:ascii="Times New Roman" w:hAnsi="Times New Roman" w:eastAsia="宋体"/>
                <w:sz w:val="20"/>
                <w:szCs w:val="20"/>
              </w:rPr>
              <w:t>低风险</w:t>
            </w:r>
          </w:p>
        </w:tc>
      </w:tr>
    </w:tbl>
    <w:p w14:paraId="63EA02BF">
      <w:pPr>
        <w:pStyle w:val="65"/>
        <w:spacing w:before="156" w:after="156" w:line="360" w:lineRule="auto"/>
      </w:pPr>
      <w:bookmarkStart w:id="90" w:name="_Toc185097905"/>
      <w:r>
        <w:rPr>
          <w:rFonts w:hint="eastAsia"/>
        </w:rPr>
        <w:t>6.4.3风险等级划分修正</w:t>
      </w:r>
    </w:p>
    <w:p w14:paraId="23783327">
      <w:pPr>
        <w:pStyle w:val="66"/>
        <w:spacing w:before="156" w:after="156"/>
      </w:pPr>
      <w:bookmarkStart w:id="91" w:name="_Toc193189066"/>
      <w:bookmarkStart w:id="92" w:name="_Toc193268280"/>
      <w:bookmarkStart w:id="93" w:name="_Toc194588995"/>
      <w:r>
        <w:rPr>
          <w:rFonts w:hint="eastAsia"/>
        </w:rPr>
        <w:t>6.5风险</w:t>
      </w:r>
      <w:r>
        <w:t>表达</w:t>
      </w:r>
      <w:bookmarkEnd w:id="90"/>
      <w:bookmarkEnd w:id="91"/>
      <w:bookmarkEnd w:id="92"/>
      <w:bookmarkEnd w:id="93"/>
    </w:p>
    <w:bookmarkEnd w:id="88"/>
    <w:p w14:paraId="554F29DF">
      <w:pPr>
        <w:pStyle w:val="65"/>
        <w:spacing w:before="156" w:after="156" w:line="360" w:lineRule="auto"/>
      </w:pPr>
      <w:r>
        <w:rPr>
          <w:rFonts w:hint="eastAsia"/>
        </w:rPr>
        <w:t>6.5.1指数方式</w:t>
      </w:r>
    </w:p>
    <w:p w14:paraId="59062D85">
      <w:pPr>
        <w:ind w:firstLine="420" w:firstLineChars="200"/>
        <w:rPr>
          <w:rStyle w:val="47"/>
          <w:rFonts w:hint="eastAsia" w:hAnsi="宋体"/>
        </w:rPr>
      </w:pPr>
      <w:r>
        <w:rPr>
          <w:rStyle w:val="47"/>
          <w:rFonts w:hint="eastAsia" w:hAnsi="宋体"/>
        </w:rPr>
        <w:t>矿山环境风险源、污染风险单元的量化评估与等级划分结果，用包含指数值、等级、构成等信息的指数方式表征。</w:t>
      </w:r>
    </w:p>
    <w:p w14:paraId="5D0D3B87">
      <w:pPr>
        <w:pStyle w:val="69"/>
        <w:spacing w:before="156" w:after="156"/>
        <w:rPr>
          <w:rFonts w:hint="eastAsia" w:ascii="等线" w:hAnsi="等线" w:eastAsia="等线"/>
          <w:sz w:val="20"/>
          <w:szCs w:val="22"/>
        </w:rPr>
      </w:pPr>
      <w:r>
        <w:rPr>
          <w:rFonts w:hint="eastAsia" w:ascii="等线" w:hAnsi="等线" w:eastAsia="等线"/>
          <w:sz w:val="20"/>
          <w:szCs w:val="22"/>
        </w:rPr>
        <w:t>环境风险指数表征示例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457"/>
        <w:gridCol w:w="1892"/>
        <w:gridCol w:w="4159"/>
      </w:tblGrid>
      <w:tr w14:paraId="64A9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95" w:type="pct"/>
            <w:vAlign w:val="center"/>
          </w:tcPr>
          <w:p w14:paraId="5FB19FAE">
            <w:pPr>
              <w:jc w:val="center"/>
              <w:rPr>
                <w:rFonts w:hint="eastAsia" w:ascii="宋体" w:hAnsi="宋体" w:eastAsia="宋体" w:cs="宋体"/>
                <w:sz w:val="18"/>
                <w:szCs w:val="18"/>
              </w:rPr>
            </w:pPr>
            <w:r>
              <w:rPr>
                <w:rFonts w:hint="eastAsia" w:ascii="宋体" w:hAnsi="宋体" w:eastAsia="宋体" w:cs="宋体"/>
                <w:sz w:val="18"/>
                <w:szCs w:val="18"/>
              </w:rPr>
              <w:t>风险评估对象</w:t>
            </w:r>
          </w:p>
        </w:tc>
        <w:tc>
          <w:tcPr>
            <w:tcW w:w="855" w:type="pct"/>
            <w:vAlign w:val="center"/>
          </w:tcPr>
          <w:p w14:paraId="3C47B6CB">
            <w:pPr>
              <w:jc w:val="center"/>
              <w:rPr>
                <w:rFonts w:hint="eastAsia" w:ascii="宋体" w:hAnsi="宋体" w:eastAsia="宋体" w:cs="宋体"/>
                <w:sz w:val="18"/>
                <w:szCs w:val="18"/>
              </w:rPr>
            </w:pPr>
            <w:r>
              <w:rPr>
                <w:rFonts w:hint="eastAsia" w:ascii="宋体" w:hAnsi="宋体" w:eastAsia="宋体" w:cs="宋体"/>
                <w:sz w:val="18"/>
                <w:szCs w:val="18"/>
              </w:rPr>
              <w:t>规则</w:t>
            </w:r>
          </w:p>
        </w:tc>
        <w:tc>
          <w:tcPr>
            <w:tcW w:w="1110" w:type="pct"/>
            <w:vAlign w:val="center"/>
          </w:tcPr>
          <w:p w14:paraId="263C68C2">
            <w:pPr>
              <w:jc w:val="center"/>
              <w:rPr>
                <w:rFonts w:hint="eastAsia" w:ascii="宋体" w:hAnsi="宋体" w:eastAsia="宋体" w:cs="宋体"/>
                <w:sz w:val="18"/>
                <w:szCs w:val="18"/>
              </w:rPr>
            </w:pPr>
            <w:r>
              <w:rPr>
                <w:rFonts w:hint="eastAsia" w:ascii="宋体" w:hAnsi="宋体" w:eastAsia="宋体" w:cs="宋体"/>
                <w:sz w:val="18"/>
                <w:szCs w:val="18"/>
              </w:rPr>
              <w:t>示例</w:t>
            </w:r>
          </w:p>
        </w:tc>
        <w:tc>
          <w:tcPr>
            <w:tcW w:w="2440" w:type="pct"/>
            <w:vAlign w:val="center"/>
          </w:tcPr>
          <w:p w14:paraId="768B9A3D">
            <w:pPr>
              <w:jc w:val="center"/>
              <w:rPr>
                <w:rFonts w:hint="eastAsia" w:ascii="宋体" w:hAnsi="宋体" w:eastAsia="宋体" w:cs="宋体"/>
                <w:sz w:val="18"/>
                <w:szCs w:val="18"/>
              </w:rPr>
            </w:pPr>
            <w:r>
              <w:rPr>
                <w:rFonts w:hint="eastAsia" w:ascii="宋体" w:hAnsi="宋体" w:eastAsia="宋体" w:cs="宋体"/>
                <w:sz w:val="18"/>
                <w:szCs w:val="18"/>
              </w:rPr>
              <w:t>示例说明</w:t>
            </w:r>
          </w:p>
        </w:tc>
      </w:tr>
      <w:tr w14:paraId="391A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95" w:type="pct"/>
            <w:vAlign w:val="center"/>
          </w:tcPr>
          <w:p w14:paraId="435BFBAC">
            <w:pPr>
              <w:pStyle w:val="46"/>
              <w:ind w:firstLine="0" w:firstLineChars="0"/>
              <w:jc w:val="center"/>
              <w:rPr>
                <w:rFonts w:hint="eastAsia" w:hAnsi="宋体" w:eastAsia="宋体"/>
                <w:sz w:val="18"/>
                <w:szCs w:val="18"/>
              </w:rPr>
            </w:pPr>
            <w:r>
              <w:rPr>
                <w:rFonts w:hint="eastAsia" w:hAnsi="宋体" w:eastAsia="宋体"/>
                <w:sz w:val="18"/>
                <w:szCs w:val="18"/>
              </w:rPr>
              <w:t>矿山环境风险源</w:t>
            </w:r>
          </w:p>
        </w:tc>
        <w:tc>
          <w:tcPr>
            <w:tcW w:w="855" w:type="pct"/>
            <w:vAlign w:val="center"/>
          </w:tcPr>
          <w:p w14:paraId="3AD2C25D">
            <w:pPr>
              <w:pStyle w:val="46"/>
              <w:ind w:firstLine="0" w:firstLineChars="0"/>
              <w:jc w:val="center"/>
              <w:rPr>
                <w:rFonts w:hint="eastAsia" w:hAnsi="宋体" w:eastAsia="宋体"/>
                <w:sz w:val="18"/>
                <w:szCs w:val="18"/>
              </w:rPr>
            </w:pPr>
            <w:r>
              <w:rPr>
                <w:rFonts w:hint="eastAsia" w:hAnsi="宋体" w:eastAsia="宋体"/>
                <w:sz w:val="18"/>
                <w:szCs w:val="18"/>
              </w:rPr>
              <w:t>数值+等级+构成</w:t>
            </w:r>
          </w:p>
        </w:tc>
        <w:tc>
          <w:tcPr>
            <w:tcW w:w="1110" w:type="pct"/>
            <w:vAlign w:val="center"/>
          </w:tcPr>
          <w:p w14:paraId="42772B33">
            <w:pPr>
              <w:pStyle w:val="46"/>
              <w:ind w:firstLine="0" w:firstLineChars="0"/>
              <w:jc w:val="left"/>
              <w:rPr>
                <w:rFonts w:hint="eastAsia" w:hAnsi="宋体" w:eastAsia="宋体"/>
                <w:sz w:val="18"/>
                <w:szCs w:val="18"/>
              </w:rPr>
            </w:pPr>
            <w:r>
              <w:rPr>
                <w:rFonts w:hint="eastAsia" w:hAnsi="宋体" w:eastAsia="宋体"/>
                <w:sz w:val="18"/>
                <w:szCs w:val="18"/>
              </w:rPr>
              <w:t>H49-中-</w:t>
            </w:r>
            <m:oMath>
              <m:sSubSup>
                <m:sSubSupPr>
                  <m:ctrlPr>
                    <w:rPr>
                      <w:rFonts w:hint="eastAsia" w:ascii="Cambria Math" w:hAnsi="Cambria Math" w:eastAsia="宋体"/>
                      <w:sz w:val="18"/>
                      <w:szCs w:val="18"/>
                    </w:rPr>
                  </m:ctrlPr>
                </m:sSubSupPr>
                <m:e>
                  <m:r>
                    <m:rPr>
                      <m:sty m:val="p"/>
                    </m:rPr>
                    <w:rPr>
                      <w:rFonts w:ascii="Cambria Math" w:hAnsi="Cambria Math" w:eastAsia="宋体"/>
                      <w:sz w:val="18"/>
                      <w:szCs w:val="18"/>
                    </w:rPr>
                    <m:t>H</m:t>
                  </m:r>
                  <m:ctrlPr>
                    <w:rPr>
                      <w:rFonts w:hint="eastAsia" w:ascii="Cambria Math" w:hAnsi="Cambria Math" w:eastAsia="宋体"/>
                      <w:sz w:val="18"/>
                      <w:szCs w:val="18"/>
                    </w:rPr>
                  </m:ctrlPr>
                </m:e>
                <m:sub>
                  <m:r>
                    <m:rPr>
                      <m:sty m:val="p"/>
                    </m:rPr>
                    <w:rPr>
                      <w:rFonts w:hint="eastAsia" w:ascii="Cambria Math" w:hAnsi="Cambria Math" w:eastAsia="宋体"/>
                      <w:sz w:val="18"/>
                      <w:szCs w:val="18"/>
                    </w:rPr>
                    <m:t>渣</m:t>
                  </m:r>
                  <m:ctrlPr>
                    <w:rPr>
                      <w:rFonts w:hint="eastAsia" w:ascii="Cambria Math" w:hAnsi="Cambria Math" w:eastAsia="宋体"/>
                      <w:sz w:val="18"/>
                      <w:szCs w:val="18"/>
                    </w:rPr>
                  </m:ctrlPr>
                </m:sub>
                <m:sup>
                  <m:r>
                    <m:rPr>
                      <m:sty m:val="p"/>
                    </m:rPr>
                    <w:rPr>
                      <w:rFonts w:ascii="Cambria Math" w:hAnsi="Cambria Math" w:eastAsia="宋体"/>
                      <w:sz w:val="18"/>
                      <w:szCs w:val="18"/>
                    </w:rPr>
                    <m:t>5</m:t>
                  </m:r>
                  <m:ctrlPr>
                    <w:rPr>
                      <w:rFonts w:hint="eastAsia" w:ascii="Cambria Math" w:hAnsi="Cambria Math" w:eastAsia="宋体"/>
                      <w:sz w:val="18"/>
                      <w:szCs w:val="18"/>
                    </w:rPr>
                  </m:ctrlPr>
                </m:sup>
              </m:sSubSup>
              <m:sSubSup>
                <m:sSubSupPr>
                  <m:ctrlPr>
                    <w:rPr>
                      <w:rFonts w:hint="eastAsia" w:ascii="Cambria Math" w:hAnsi="Cambria Math" w:eastAsia="宋体"/>
                      <w:sz w:val="18"/>
                      <w:szCs w:val="18"/>
                    </w:rPr>
                  </m:ctrlPr>
                </m:sSubSupPr>
                <m:e>
                  <m:r>
                    <m:rPr>
                      <m:sty m:val="p"/>
                    </m:rPr>
                    <w:rPr>
                      <w:rFonts w:ascii="Cambria Math" w:hAnsi="Cambria Math" w:eastAsia="宋体"/>
                      <w:sz w:val="18"/>
                      <w:szCs w:val="18"/>
                    </w:rPr>
                    <m:t>40H</m:t>
                  </m:r>
                  <m:ctrlPr>
                    <w:rPr>
                      <w:rFonts w:hint="eastAsia" w:ascii="Cambria Math" w:hAnsi="Cambria Math" w:eastAsia="宋体"/>
                      <w:sz w:val="18"/>
                      <w:szCs w:val="18"/>
                    </w:rPr>
                  </m:ctrlPr>
                </m:e>
                <m:sub>
                  <m:r>
                    <m:rPr>
                      <m:sty m:val="p"/>
                    </m:rPr>
                    <w:rPr>
                      <w:rFonts w:hint="eastAsia" w:ascii="Cambria Math" w:hAnsi="Cambria Math" w:eastAsia="宋体"/>
                      <w:sz w:val="18"/>
                      <w:szCs w:val="18"/>
                    </w:rPr>
                    <m:t>硐</m:t>
                  </m:r>
                  <m:ctrlPr>
                    <w:rPr>
                      <w:rFonts w:hint="eastAsia" w:ascii="Cambria Math" w:hAnsi="Cambria Math" w:eastAsia="宋体"/>
                      <w:sz w:val="18"/>
                      <w:szCs w:val="18"/>
                    </w:rPr>
                  </m:ctrlPr>
                </m:sub>
                <m:sup>
                  <m:r>
                    <m:rPr>
                      <m:sty m:val="p"/>
                    </m:rPr>
                    <w:rPr>
                      <w:rFonts w:ascii="Cambria Math" w:hAnsi="Cambria Math" w:eastAsia="宋体"/>
                      <w:sz w:val="18"/>
                      <w:szCs w:val="18"/>
                    </w:rPr>
                    <m:t>12</m:t>
                  </m:r>
                  <m:ctrlPr>
                    <w:rPr>
                      <w:rFonts w:hint="eastAsia" w:ascii="Cambria Math" w:hAnsi="Cambria Math" w:eastAsia="宋体"/>
                      <w:sz w:val="18"/>
                      <w:szCs w:val="18"/>
                    </w:rPr>
                  </m:ctrlPr>
                </m:sup>
              </m:sSubSup>
              <m:r>
                <m:rPr>
                  <m:sty m:val="p"/>
                </m:rPr>
                <w:rPr>
                  <w:rFonts w:ascii="Cambria Math" w:hAnsi="Cambria Math" w:eastAsia="宋体"/>
                  <w:sz w:val="18"/>
                  <w:szCs w:val="18"/>
                </w:rPr>
                <m:t>60</m:t>
              </m:r>
            </m:oMath>
          </w:p>
        </w:tc>
        <w:tc>
          <w:tcPr>
            <w:tcW w:w="2440" w:type="pct"/>
            <w:vAlign w:val="center"/>
          </w:tcPr>
          <w:p w14:paraId="70C10CF4">
            <w:pPr>
              <w:pStyle w:val="46"/>
              <w:ind w:firstLine="0" w:firstLineChars="0"/>
              <w:rPr>
                <w:rFonts w:hint="eastAsia" w:hAnsi="宋体" w:eastAsia="宋体"/>
                <w:sz w:val="18"/>
                <w:szCs w:val="18"/>
              </w:rPr>
            </w:pPr>
            <w:r>
              <w:rPr>
                <w:rFonts w:hint="eastAsia" w:hAnsi="宋体" w:eastAsia="宋体"/>
                <w:sz w:val="18"/>
                <w:szCs w:val="18"/>
              </w:rPr>
              <w:t>表示矿山环境风险源的风险源危害性指数为49，属中危害性等级，</w:t>
            </w:r>
            <m:oMath>
              <m:sSubSup>
                <m:sSubSupPr>
                  <m:ctrlPr>
                    <w:rPr>
                      <w:rFonts w:hint="eastAsia" w:ascii="Cambria Math" w:hAnsi="Cambria Math" w:eastAsia="宋体"/>
                      <w:sz w:val="18"/>
                      <w:szCs w:val="18"/>
                    </w:rPr>
                  </m:ctrlPr>
                </m:sSubSupPr>
                <m:e>
                  <m:r>
                    <m:rPr>
                      <m:sty m:val="p"/>
                    </m:rPr>
                    <w:rPr>
                      <w:rFonts w:ascii="Cambria Math" w:hAnsi="Cambria Math" w:eastAsia="宋体"/>
                      <w:sz w:val="18"/>
                      <w:szCs w:val="18"/>
                    </w:rPr>
                    <m:t>H</m:t>
                  </m:r>
                  <m:ctrlPr>
                    <w:rPr>
                      <w:rFonts w:hint="eastAsia" w:ascii="Cambria Math" w:hAnsi="Cambria Math" w:eastAsia="宋体"/>
                      <w:sz w:val="18"/>
                      <w:szCs w:val="18"/>
                    </w:rPr>
                  </m:ctrlPr>
                </m:e>
                <m:sub>
                  <m:r>
                    <m:rPr>
                      <m:sty m:val="p"/>
                    </m:rPr>
                    <w:rPr>
                      <w:rFonts w:hint="eastAsia" w:ascii="Cambria Math" w:hAnsi="Cambria Math" w:eastAsia="宋体"/>
                      <w:sz w:val="18"/>
                      <w:szCs w:val="18"/>
                    </w:rPr>
                    <m:t>渣</m:t>
                  </m:r>
                  <m:ctrlPr>
                    <w:rPr>
                      <w:rFonts w:hint="eastAsia" w:ascii="Cambria Math" w:hAnsi="Cambria Math" w:eastAsia="宋体"/>
                      <w:sz w:val="18"/>
                      <w:szCs w:val="18"/>
                    </w:rPr>
                  </m:ctrlPr>
                </m:sub>
                <m:sup>
                  <m:r>
                    <m:rPr>
                      <m:sty m:val="p"/>
                    </m:rPr>
                    <w:rPr>
                      <w:rFonts w:ascii="Cambria Math" w:hAnsi="Cambria Math" w:eastAsia="宋体"/>
                      <w:sz w:val="18"/>
                      <w:szCs w:val="18"/>
                    </w:rPr>
                    <m:t>5</m:t>
                  </m:r>
                  <m:ctrlPr>
                    <w:rPr>
                      <w:rFonts w:hint="eastAsia" w:ascii="Cambria Math" w:hAnsi="Cambria Math" w:eastAsia="宋体"/>
                      <w:sz w:val="18"/>
                      <w:szCs w:val="18"/>
                    </w:rPr>
                  </m:ctrlPr>
                </m:sup>
              </m:sSubSup>
            </m:oMath>
            <w:r>
              <w:rPr>
                <w:rFonts w:hint="eastAsia" w:hAnsi="宋体" w:eastAsia="宋体"/>
                <w:sz w:val="18"/>
                <w:szCs w:val="18"/>
              </w:rPr>
              <w:t>40表示该风险单元内有5处废渣堆，废渣的危害性指数为40；</w:t>
            </w:r>
            <m:oMath>
              <m:sSubSup>
                <m:sSubSupPr>
                  <m:ctrlPr>
                    <w:rPr>
                      <w:rFonts w:hint="eastAsia" w:ascii="Cambria Math" w:hAnsi="Cambria Math" w:eastAsia="宋体"/>
                      <w:sz w:val="18"/>
                      <w:szCs w:val="18"/>
                    </w:rPr>
                  </m:ctrlPr>
                </m:sSubSupPr>
                <m:e>
                  <m:r>
                    <m:rPr>
                      <m:sty m:val="p"/>
                    </m:rPr>
                    <w:rPr>
                      <w:rFonts w:ascii="Cambria Math" w:hAnsi="Cambria Math" w:eastAsia="宋体"/>
                      <w:sz w:val="18"/>
                      <w:szCs w:val="18"/>
                    </w:rPr>
                    <m:t>H</m:t>
                  </m:r>
                  <m:ctrlPr>
                    <w:rPr>
                      <w:rFonts w:hint="eastAsia" w:ascii="Cambria Math" w:hAnsi="Cambria Math" w:eastAsia="宋体"/>
                      <w:sz w:val="18"/>
                      <w:szCs w:val="18"/>
                    </w:rPr>
                  </m:ctrlPr>
                </m:e>
                <m:sub>
                  <m:r>
                    <m:rPr>
                      <m:sty m:val="p"/>
                    </m:rPr>
                    <w:rPr>
                      <w:rFonts w:hint="eastAsia" w:ascii="Cambria Math" w:hAnsi="Cambria Math" w:eastAsia="宋体"/>
                      <w:sz w:val="18"/>
                      <w:szCs w:val="18"/>
                    </w:rPr>
                    <m:t>硐</m:t>
                  </m:r>
                  <m:ctrlPr>
                    <w:rPr>
                      <w:rFonts w:hint="eastAsia" w:ascii="Cambria Math" w:hAnsi="Cambria Math" w:eastAsia="宋体"/>
                      <w:sz w:val="18"/>
                      <w:szCs w:val="18"/>
                    </w:rPr>
                  </m:ctrlPr>
                </m:sub>
                <m:sup>
                  <m:r>
                    <m:rPr>
                      <m:sty m:val="p"/>
                    </m:rPr>
                    <w:rPr>
                      <w:rFonts w:ascii="Cambria Math" w:hAnsi="Cambria Math" w:eastAsia="宋体"/>
                      <w:sz w:val="18"/>
                      <w:szCs w:val="18"/>
                    </w:rPr>
                    <m:t>12</m:t>
                  </m:r>
                  <m:ctrlPr>
                    <w:rPr>
                      <w:rFonts w:hint="eastAsia" w:ascii="Cambria Math" w:hAnsi="Cambria Math" w:eastAsia="宋体"/>
                      <w:sz w:val="18"/>
                      <w:szCs w:val="18"/>
                    </w:rPr>
                  </m:ctrlPr>
                </m:sup>
              </m:sSubSup>
              <m:r>
                <m:rPr>
                  <m:sty m:val="p"/>
                </m:rPr>
                <w:rPr>
                  <w:rFonts w:ascii="Cambria Math" w:hAnsi="Cambria Math" w:eastAsia="宋体"/>
                  <w:sz w:val="18"/>
                  <w:szCs w:val="18"/>
                </w:rPr>
                <m:t>6</m:t>
              </m:r>
            </m:oMath>
            <w:r>
              <w:rPr>
                <w:rFonts w:hint="eastAsia" w:hAnsi="宋体" w:eastAsia="宋体"/>
                <w:sz w:val="18"/>
                <w:szCs w:val="18"/>
              </w:rPr>
              <w:t>0表示该风险单元内有12处矿硐，矿硐的危害性指数为60。</w:t>
            </w:r>
          </w:p>
        </w:tc>
      </w:tr>
      <w:tr w14:paraId="7C41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95" w:type="pct"/>
            <w:vAlign w:val="center"/>
          </w:tcPr>
          <w:p w14:paraId="59086BB2">
            <w:pPr>
              <w:jc w:val="center"/>
              <w:rPr>
                <w:rFonts w:hint="eastAsia" w:ascii="宋体" w:hAnsi="宋体" w:eastAsia="宋体" w:cs="宋体"/>
                <w:sz w:val="18"/>
                <w:szCs w:val="18"/>
              </w:rPr>
            </w:pPr>
            <w:r>
              <w:rPr>
                <w:rFonts w:hint="eastAsia" w:ascii="宋体" w:hAnsi="宋体" w:eastAsia="宋体" w:cs="宋体"/>
                <w:sz w:val="18"/>
                <w:szCs w:val="18"/>
              </w:rPr>
              <w:t>污染风险单元</w:t>
            </w:r>
          </w:p>
        </w:tc>
        <w:tc>
          <w:tcPr>
            <w:tcW w:w="855" w:type="pct"/>
            <w:vAlign w:val="center"/>
          </w:tcPr>
          <w:p w14:paraId="331881E7">
            <w:pPr>
              <w:jc w:val="left"/>
              <w:rPr>
                <w:rFonts w:hint="eastAsia" w:ascii="宋体" w:hAnsi="宋体" w:eastAsia="宋体" w:cs="宋体"/>
                <w:sz w:val="18"/>
                <w:szCs w:val="18"/>
              </w:rPr>
            </w:pPr>
            <w:r>
              <w:rPr>
                <w:rFonts w:hint="eastAsia" w:ascii="宋体" w:hAnsi="宋体" w:eastAsia="宋体" w:cs="宋体"/>
                <w:sz w:val="18"/>
                <w:szCs w:val="18"/>
              </w:rPr>
              <w:t>数值+等级+构成</w:t>
            </w:r>
          </w:p>
        </w:tc>
        <w:tc>
          <w:tcPr>
            <w:tcW w:w="1110" w:type="pct"/>
            <w:vAlign w:val="center"/>
          </w:tcPr>
          <w:p w14:paraId="4E3C4685">
            <w:pPr>
              <w:jc w:val="left"/>
              <w:rPr>
                <w:rFonts w:hint="eastAsia" w:ascii="宋体" w:hAnsi="宋体" w:eastAsia="宋体" w:cs="宋体"/>
                <w:sz w:val="18"/>
                <w:szCs w:val="18"/>
              </w:rPr>
            </w:pPr>
            <w:r>
              <w:rPr>
                <w:rFonts w:hint="eastAsia" w:ascii="宋体" w:hAnsi="宋体" w:eastAsia="宋体" w:cs="宋体"/>
                <w:sz w:val="18"/>
                <w:szCs w:val="18"/>
              </w:rPr>
              <w:t>R67-高-H70M70S60</w:t>
            </w:r>
          </w:p>
        </w:tc>
        <w:tc>
          <w:tcPr>
            <w:tcW w:w="2440" w:type="pct"/>
            <w:vAlign w:val="center"/>
          </w:tcPr>
          <w:p w14:paraId="796A40B8">
            <w:pPr>
              <w:jc w:val="left"/>
              <w:rPr>
                <w:rFonts w:hint="eastAsia" w:ascii="宋体" w:hAnsi="宋体" w:eastAsia="宋体" w:cs="宋体"/>
                <w:sz w:val="18"/>
                <w:szCs w:val="18"/>
              </w:rPr>
            </w:pPr>
            <w:r>
              <w:rPr>
                <w:rFonts w:hint="eastAsia" w:ascii="宋体" w:hAnsi="宋体" w:eastAsia="宋体" w:cs="宋体"/>
                <w:sz w:val="18"/>
                <w:szCs w:val="18"/>
              </w:rPr>
              <w:t>表示污染风险单元的污染风险指数为67，属高风险性等级，风险源危害性、污染物迁移性、环境敏感性的指数量化值分别为70、70、60。</w:t>
            </w:r>
          </w:p>
        </w:tc>
      </w:tr>
    </w:tbl>
    <w:p w14:paraId="00D4ECF1">
      <w:pPr>
        <w:pStyle w:val="65"/>
        <w:spacing w:before="156" w:after="156" w:line="360" w:lineRule="auto"/>
      </w:pPr>
      <w:r>
        <w:rPr>
          <w:rFonts w:hint="eastAsia"/>
        </w:rPr>
        <w:t>6.5.2地图方式</w:t>
      </w:r>
    </w:p>
    <w:p w14:paraId="039296EC">
      <w:pPr>
        <w:rPr>
          <w:rFonts w:ascii="Times New Roman" w:hAnsi="Times New Roman" w:eastAsia="宋体"/>
        </w:rPr>
      </w:pPr>
      <w:r>
        <w:rPr>
          <w:rFonts w:hint="eastAsia" w:ascii="黑体" w:hAnsi="黑体" w:eastAsia="黑体"/>
          <w:kern w:val="0"/>
          <w:szCs w:val="21"/>
        </w:rPr>
        <w:t>6.</w:t>
      </w:r>
      <w:r>
        <w:rPr>
          <w:rFonts w:ascii="黑体" w:hAnsi="黑体" w:eastAsia="黑体"/>
          <w:kern w:val="0"/>
          <w:szCs w:val="21"/>
        </w:rPr>
        <w:t>5.2.1</w:t>
      </w:r>
      <w:r>
        <w:rPr>
          <w:rFonts w:ascii="Times New Roman" w:hAnsi="Times New Roman" w:eastAsia="宋体"/>
        </w:rPr>
        <w:t>同一风险单元内，用不同图例在地图上表征废渣、矿硐，高、中、低三个危害性等级分别对应红、黄、蓝三种颜色，形成风险源危害性地图。</w:t>
      </w:r>
    </w:p>
    <w:p w14:paraId="29B48626">
      <w:pPr>
        <w:rPr>
          <w:rFonts w:ascii="Times New Roman" w:hAnsi="Times New Roman" w:eastAsia="宋体"/>
        </w:rPr>
      </w:pPr>
      <w:r>
        <w:rPr>
          <w:rFonts w:hint="eastAsia" w:ascii="黑体" w:hAnsi="黑体" w:eastAsia="黑体"/>
          <w:kern w:val="0"/>
          <w:szCs w:val="21"/>
        </w:rPr>
        <w:t>6.</w:t>
      </w:r>
      <w:r>
        <w:rPr>
          <w:rFonts w:ascii="黑体" w:hAnsi="黑体" w:eastAsia="黑体"/>
          <w:kern w:val="0"/>
          <w:szCs w:val="21"/>
        </w:rPr>
        <w:t>5.2.2</w:t>
      </w:r>
      <w:r>
        <w:rPr>
          <w:rFonts w:ascii="Times New Roman" w:hAnsi="Times New Roman" w:eastAsia="宋体"/>
        </w:rPr>
        <w:t>根据评估确定的风险值，将不同风险单元的风险等级在地图上用对应的颜色表示，高、中、低三个风险等级分别对应红、黄、蓝三种颜色，形成风险地图。</w:t>
      </w:r>
    </w:p>
    <w:p w14:paraId="0D8B1770">
      <w:pPr>
        <w:pStyle w:val="3"/>
        <w:widowControl/>
        <w:spacing w:before="120" w:after="156" w:afterLines="50" w:line="360" w:lineRule="auto"/>
        <w:ind w:left="227" w:hanging="227"/>
        <w:jc w:val="left"/>
        <w:rPr>
          <w:rFonts w:hint="eastAsia" w:ascii="黑体" w:hAnsi="黑体" w:eastAsia="黑体"/>
          <w:b w:val="0"/>
          <w:kern w:val="0"/>
          <w:sz w:val="21"/>
          <w:szCs w:val="21"/>
        </w:rPr>
      </w:pPr>
      <w:bookmarkStart w:id="94" w:name="_Toc194588996"/>
      <w:r>
        <w:rPr>
          <w:rFonts w:hint="eastAsia" w:ascii="黑体" w:hAnsi="黑体" w:eastAsia="黑体"/>
          <w:b w:val="0"/>
          <w:kern w:val="0"/>
          <w:sz w:val="21"/>
          <w:szCs w:val="21"/>
        </w:rPr>
        <w:t xml:space="preserve">7 </w:t>
      </w:r>
      <w:bookmarkStart w:id="95" w:name="_Hlk185101876"/>
      <w:r>
        <w:rPr>
          <w:rFonts w:hint="eastAsia" w:ascii="黑体" w:hAnsi="黑体" w:eastAsia="黑体"/>
          <w:b w:val="0"/>
          <w:kern w:val="0"/>
          <w:sz w:val="21"/>
          <w:szCs w:val="21"/>
        </w:rPr>
        <w:t>风险防控目标与策略制定</w:t>
      </w:r>
      <w:bookmarkEnd w:id="94"/>
      <w:bookmarkEnd w:id="95"/>
    </w:p>
    <w:p w14:paraId="2C0EDDA5">
      <w:pPr>
        <w:pStyle w:val="4"/>
        <w:spacing w:before="156" w:beforeLines="50" w:after="156" w:afterLines="50" w:line="240" w:lineRule="auto"/>
        <w:rPr>
          <w:rFonts w:hint="eastAsia" w:ascii="黑体" w:hAnsi="黑体" w:eastAsia="黑体"/>
          <w:b w:val="0"/>
          <w:bCs w:val="0"/>
          <w:sz w:val="21"/>
          <w:szCs w:val="21"/>
        </w:rPr>
      </w:pPr>
      <w:bookmarkStart w:id="96" w:name="_Toc182575441"/>
      <w:bookmarkStart w:id="97" w:name="_Toc181892428"/>
      <w:bookmarkStart w:id="98" w:name="_Toc181892265"/>
      <w:bookmarkStart w:id="99" w:name="_Toc194588997"/>
      <w:bookmarkStart w:id="100" w:name="_Toc183542813"/>
      <w:bookmarkStart w:id="101" w:name="_Toc193268282"/>
      <w:bookmarkStart w:id="102" w:name="_Toc185097907"/>
      <w:bookmarkStart w:id="103" w:name="_Toc193189068"/>
      <w:r>
        <w:rPr>
          <w:rFonts w:hint="eastAsia" w:ascii="黑体" w:hAnsi="黑体" w:eastAsia="黑体"/>
          <w:b w:val="0"/>
          <w:bCs w:val="0"/>
          <w:sz w:val="21"/>
          <w:szCs w:val="21"/>
        </w:rPr>
        <w:t>7.1防控目标</w:t>
      </w:r>
      <w:bookmarkEnd w:id="96"/>
      <w:bookmarkEnd w:id="97"/>
      <w:bookmarkEnd w:id="98"/>
      <w:r>
        <w:rPr>
          <w:rFonts w:hint="eastAsia" w:ascii="黑体" w:hAnsi="黑体" w:eastAsia="黑体"/>
          <w:b w:val="0"/>
          <w:bCs w:val="0"/>
          <w:sz w:val="21"/>
          <w:szCs w:val="21"/>
        </w:rPr>
        <w:t>制定</w:t>
      </w:r>
      <w:bookmarkEnd w:id="99"/>
      <w:bookmarkEnd w:id="100"/>
      <w:bookmarkEnd w:id="101"/>
      <w:bookmarkEnd w:id="102"/>
      <w:bookmarkEnd w:id="103"/>
    </w:p>
    <w:p w14:paraId="7F764664">
      <w:pPr>
        <w:rPr>
          <w:rFonts w:hint="eastAsia" w:ascii="宋体" w:hAnsi="宋体" w:eastAsia="宋体"/>
        </w:rPr>
      </w:pPr>
      <w:r>
        <w:rPr>
          <w:rFonts w:hint="eastAsia" w:ascii="黑体" w:hAnsi="黑体" w:eastAsia="黑体"/>
        </w:rPr>
        <w:t>7</w:t>
      </w:r>
      <w:r>
        <w:rPr>
          <w:rFonts w:ascii="黑体" w:hAnsi="黑体" w:eastAsia="黑体"/>
        </w:rPr>
        <w:t>.1.</w:t>
      </w:r>
      <w:r>
        <w:rPr>
          <w:rFonts w:hint="eastAsia" w:ascii="黑体" w:hAnsi="黑体" w:eastAsia="黑体"/>
        </w:rPr>
        <w:t>1</w:t>
      </w:r>
      <w:r>
        <w:rPr>
          <w:rFonts w:ascii="Times New Roman" w:hAnsi="Times New Roman" w:eastAsia="宋体"/>
        </w:rPr>
        <w:t>划定风险控制断面和质量控制断面。风险控制断面设置在主要河流即将流出</w:t>
      </w:r>
      <w:r>
        <w:rPr>
          <w:rFonts w:hint="eastAsia" w:ascii="Times New Roman" w:hAnsi="Times New Roman" w:eastAsia="宋体"/>
        </w:rPr>
        <w:t>污染</w:t>
      </w:r>
      <w:r>
        <w:rPr>
          <w:rFonts w:ascii="Times New Roman" w:hAnsi="Times New Roman" w:eastAsia="宋体"/>
        </w:rPr>
        <w:t>风险单元汇入上一级河流前50</w:t>
      </w:r>
      <w:r>
        <w:rPr>
          <w:rFonts w:hint="eastAsia" w:ascii="Times New Roman" w:hAnsi="Times New Roman" w:eastAsia="宋体"/>
        </w:rPr>
        <w:t>m</w:t>
      </w:r>
      <w:r>
        <w:rPr>
          <w:rFonts w:ascii="Times New Roman" w:hAnsi="Times New Roman" w:eastAsia="宋体"/>
        </w:rPr>
        <w:t>~200m的位置。质量控制断面</w:t>
      </w:r>
      <w:r>
        <w:rPr>
          <w:rFonts w:hint="eastAsia" w:ascii="宋体" w:hAnsi="宋体" w:eastAsia="宋体"/>
        </w:rPr>
        <w:t>设置在主要河流流出风险防控区的边界处，若风险防控区内涉及重要断面、</w:t>
      </w:r>
      <w:bookmarkStart w:id="104" w:name="_Hlk185108372"/>
      <w:r>
        <w:rPr>
          <w:rFonts w:hint="eastAsia" w:ascii="宋体" w:hAnsi="宋体" w:eastAsia="宋体"/>
        </w:rPr>
        <w:t>饮用水取水口</w:t>
      </w:r>
      <w:bookmarkEnd w:id="104"/>
      <w:r>
        <w:rPr>
          <w:rFonts w:hint="eastAsia" w:ascii="宋体" w:hAnsi="宋体" w:eastAsia="宋体"/>
        </w:rPr>
        <w:t>、水源保护区、湖库等重要风险受体，则设置在各受体上游保护边界。</w:t>
      </w:r>
    </w:p>
    <w:p w14:paraId="51CD034B">
      <w:pPr>
        <w:rPr>
          <w:rFonts w:ascii="Times New Roman" w:hAnsi="Times New Roman" w:eastAsia="宋体"/>
        </w:rPr>
      </w:pPr>
      <w:r>
        <w:rPr>
          <w:rFonts w:hint="eastAsia" w:ascii="黑体" w:hAnsi="黑体" w:eastAsia="黑体"/>
        </w:rPr>
        <w:t>7</w:t>
      </w:r>
      <w:r>
        <w:rPr>
          <w:rFonts w:ascii="黑体" w:hAnsi="黑体" w:eastAsia="黑体"/>
        </w:rPr>
        <w:t>.1.</w:t>
      </w:r>
      <w:r>
        <w:rPr>
          <w:rFonts w:hint="eastAsia" w:ascii="黑体" w:hAnsi="黑体" w:eastAsia="黑体"/>
        </w:rPr>
        <w:t>2</w:t>
      </w:r>
      <w:r>
        <w:rPr>
          <w:rFonts w:ascii="Times New Roman" w:hAnsi="Times New Roman" w:eastAsia="宋体"/>
        </w:rPr>
        <w:t>防控目标包括风险单元的风险控制断面的防控目标，及质量控制断面的防控目标。</w:t>
      </w:r>
    </w:p>
    <w:p w14:paraId="777758EB">
      <w:pPr>
        <w:rPr>
          <w:rFonts w:hint="eastAsia" w:ascii="宋体" w:hAnsi="宋体" w:eastAsia="宋体"/>
          <w:sz w:val="20"/>
          <w:szCs w:val="20"/>
        </w:rPr>
      </w:pPr>
      <w:r>
        <w:rPr>
          <w:rFonts w:hint="eastAsia" w:ascii="黑体" w:hAnsi="黑体" w:eastAsia="黑体"/>
        </w:rPr>
        <w:t>7.1.3</w:t>
      </w:r>
      <w:r>
        <w:rPr>
          <w:rFonts w:hint="eastAsia" w:ascii="宋体" w:hAnsi="宋体" w:eastAsia="宋体"/>
        </w:rPr>
        <w:t>风险控制断面的防控目标，一般设定为地下、地表水体中</w:t>
      </w:r>
      <w:r>
        <w:rPr>
          <w:rFonts w:hint="eastAsia" w:ascii="宋体" w:hAnsi="宋体" w:eastAsia="宋体"/>
          <w:sz w:val="20"/>
          <w:szCs w:val="20"/>
        </w:rPr>
        <w:t>特征污染物浓度持续降低，直至实现水质稳定或达到区域背景值。</w:t>
      </w:r>
    </w:p>
    <w:p w14:paraId="389B3378">
      <w:pPr>
        <w:rPr>
          <w:rFonts w:ascii="Times New Roman" w:hAnsi="Times New Roman" w:eastAsia="宋体"/>
          <w:b/>
          <w:bCs/>
          <w:color w:val="000000"/>
          <w:kern w:val="0"/>
          <w:sz w:val="20"/>
          <w:szCs w:val="20"/>
        </w:rPr>
      </w:pPr>
      <w:r>
        <w:rPr>
          <w:rFonts w:hint="eastAsia" w:ascii="黑体" w:hAnsi="黑体" w:eastAsia="黑体"/>
        </w:rPr>
        <w:t>7.1.4</w:t>
      </w:r>
      <w:r>
        <w:rPr>
          <w:rFonts w:hint="eastAsia" w:ascii="宋体" w:hAnsi="宋体" w:eastAsia="宋体"/>
        </w:rPr>
        <w:t>质量控制断面的防控目标，一般设定为</w:t>
      </w:r>
      <w:r>
        <w:rPr>
          <w:rFonts w:hint="eastAsia" w:ascii="宋体" w:hAnsi="宋体" w:eastAsia="宋体"/>
          <w:sz w:val="20"/>
          <w:szCs w:val="20"/>
        </w:rPr>
        <w:t>特征污染物浓度达到</w:t>
      </w:r>
      <w:r>
        <w:rPr>
          <w:rFonts w:ascii="Times New Roman" w:hAnsi="Times New Roman" w:eastAsia="宋体"/>
          <w:color w:val="000000"/>
          <w:kern w:val="0"/>
          <w:sz w:val="20"/>
          <w:szCs w:val="20"/>
        </w:rPr>
        <w:t>环境功能类别</w:t>
      </w:r>
      <w:r>
        <w:rPr>
          <w:rFonts w:hint="eastAsia" w:ascii="Times New Roman" w:hAnsi="Times New Roman" w:eastAsia="宋体"/>
          <w:color w:val="000000"/>
          <w:kern w:val="0"/>
          <w:sz w:val="20"/>
          <w:szCs w:val="20"/>
        </w:rPr>
        <w:t>水质要求</w:t>
      </w:r>
      <w:r>
        <w:rPr>
          <w:rFonts w:hint="eastAsia" w:ascii="Times New Roman" w:hAnsi="Times New Roman" w:eastAsia="宋体"/>
          <w:b/>
          <w:bCs/>
          <w:color w:val="000000"/>
          <w:kern w:val="0"/>
          <w:sz w:val="20"/>
          <w:szCs w:val="20"/>
        </w:rPr>
        <w:t>。</w:t>
      </w:r>
    </w:p>
    <w:p w14:paraId="3512656D">
      <w:pPr>
        <w:pStyle w:val="4"/>
        <w:spacing w:before="156" w:beforeLines="50" w:after="156" w:afterLines="50" w:line="240" w:lineRule="auto"/>
        <w:rPr>
          <w:rFonts w:hint="eastAsia" w:ascii="黑体" w:hAnsi="黑体" w:eastAsia="黑体"/>
          <w:b w:val="0"/>
          <w:bCs w:val="0"/>
          <w:sz w:val="21"/>
          <w:szCs w:val="21"/>
        </w:rPr>
      </w:pPr>
      <w:bookmarkStart w:id="105" w:name="_Toc182575442"/>
      <w:bookmarkStart w:id="106" w:name="_Toc183542814"/>
      <w:bookmarkStart w:id="107" w:name="_Toc194588998"/>
      <w:bookmarkStart w:id="108" w:name="_Toc185097908"/>
      <w:bookmarkStart w:id="109" w:name="_Toc193189069"/>
      <w:bookmarkStart w:id="110" w:name="_Toc181892266"/>
      <w:bookmarkStart w:id="111" w:name="_Toc181892429"/>
      <w:bookmarkStart w:id="112" w:name="_Toc193268283"/>
      <w:r>
        <w:rPr>
          <w:rFonts w:hint="eastAsia" w:ascii="黑体" w:hAnsi="黑体" w:eastAsia="黑体"/>
          <w:b w:val="0"/>
          <w:bCs w:val="0"/>
          <w:sz w:val="21"/>
          <w:szCs w:val="21"/>
        </w:rPr>
        <w:t>7.2防控策略制定</w:t>
      </w:r>
      <w:bookmarkEnd w:id="105"/>
      <w:bookmarkEnd w:id="106"/>
      <w:bookmarkEnd w:id="107"/>
      <w:bookmarkEnd w:id="108"/>
      <w:bookmarkEnd w:id="109"/>
      <w:bookmarkEnd w:id="110"/>
      <w:bookmarkEnd w:id="111"/>
      <w:bookmarkEnd w:id="112"/>
    </w:p>
    <w:p w14:paraId="1DC9D07B">
      <w:pPr>
        <w:pStyle w:val="46"/>
      </w:pPr>
      <w:bookmarkStart w:id="113" w:name="_Hlk182949386"/>
      <w:r>
        <w:rPr>
          <w:rFonts w:hint="eastAsia"/>
        </w:rPr>
        <w:t>不同等级的风险单元实施“</w:t>
      </w:r>
      <w:r>
        <w:t>高治、中控、低防</w:t>
      </w:r>
      <w:r>
        <w:rPr>
          <w:rFonts w:hint="eastAsia"/>
        </w:rPr>
        <w:t>”</w:t>
      </w:r>
      <w:r>
        <w:t>的</w:t>
      </w:r>
      <w:r>
        <w:rPr>
          <w:rFonts w:hint="eastAsia"/>
        </w:rPr>
        <w:t>总体</w:t>
      </w:r>
      <w:r>
        <w:t>防控策略</w:t>
      </w:r>
      <w:r>
        <w:rPr>
          <w:rFonts w:hint="eastAsia"/>
        </w:rPr>
        <w:t>，协同推进污染防治与生态修复，具体策略见表4</w:t>
      </w:r>
      <w:r>
        <w:t>。</w:t>
      </w:r>
    </w:p>
    <w:p w14:paraId="624FB5E7">
      <w:pPr>
        <w:pStyle w:val="69"/>
        <w:spacing w:before="156" w:after="156"/>
        <w:rPr>
          <w:rFonts w:hint="eastAsia" w:ascii="等线" w:hAnsi="等线" w:eastAsia="等线"/>
          <w:sz w:val="20"/>
          <w:szCs w:val="22"/>
        </w:rPr>
      </w:pPr>
      <w:r>
        <w:rPr>
          <w:rFonts w:hint="eastAsia" w:ascii="等线" w:hAnsi="等线" w:eastAsia="等线"/>
          <w:sz w:val="20"/>
          <w:szCs w:val="22"/>
        </w:rPr>
        <w:t>涉金属矿山污染风险分区防控策略</w:t>
      </w:r>
    </w:p>
    <w:tbl>
      <w:tblPr>
        <w:tblStyle w:val="24"/>
        <w:tblW w:w="8361"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131"/>
        <w:gridCol w:w="7230"/>
      </w:tblGrid>
      <w:tr w14:paraId="6D9E68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blHeader/>
        </w:trPr>
        <w:tc>
          <w:tcPr>
            <w:tcW w:w="1131" w:type="dxa"/>
            <w:shd w:val="clear" w:color="auto" w:fill="auto"/>
            <w:vAlign w:val="center"/>
          </w:tcPr>
          <w:p w14:paraId="27025A1A">
            <w:pPr>
              <w:pStyle w:val="84"/>
              <w:spacing w:line="24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风险分级</w:t>
            </w:r>
          </w:p>
        </w:tc>
        <w:tc>
          <w:tcPr>
            <w:tcW w:w="7230" w:type="dxa"/>
            <w:shd w:val="clear" w:color="auto" w:fill="auto"/>
            <w:vAlign w:val="center"/>
          </w:tcPr>
          <w:p w14:paraId="2047629A">
            <w:pPr>
              <w:pStyle w:val="84"/>
              <w:spacing w:line="24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污染防控</w:t>
            </w:r>
            <w:r>
              <w:rPr>
                <w:rFonts w:hint="eastAsia" w:ascii="宋体" w:hAnsi="宋体" w:eastAsia="宋体" w:cs="Times New Roman"/>
                <w:sz w:val="18"/>
                <w:szCs w:val="18"/>
              </w:rPr>
              <w:t>策略</w:t>
            </w:r>
          </w:p>
        </w:tc>
      </w:tr>
      <w:tr w14:paraId="63D6C5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31" w:type="dxa"/>
            <w:shd w:val="clear" w:color="auto" w:fill="auto"/>
            <w:vAlign w:val="center"/>
          </w:tcPr>
          <w:p w14:paraId="711D519E">
            <w:pPr>
              <w:pStyle w:val="84"/>
              <w:spacing w:line="24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高风险单元</w:t>
            </w:r>
          </w:p>
        </w:tc>
        <w:tc>
          <w:tcPr>
            <w:tcW w:w="7230" w:type="dxa"/>
            <w:shd w:val="clear" w:color="auto" w:fill="auto"/>
            <w:vAlign w:val="center"/>
          </w:tcPr>
          <w:p w14:paraId="0CD1125D">
            <w:pPr>
              <w:pStyle w:val="84"/>
              <w:spacing w:line="240" w:lineRule="auto"/>
              <w:ind w:firstLine="0" w:firstLineChars="0"/>
              <w:rPr>
                <w:rFonts w:hint="eastAsia" w:ascii="宋体" w:hAnsi="宋体" w:eastAsia="宋体" w:cs="Times New Roman"/>
                <w:sz w:val="18"/>
                <w:szCs w:val="18"/>
              </w:rPr>
            </w:pPr>
            <w:r>
              <w:rPr>
                <w:rFonts w:hint="eastAsia" w:ascii="宋体" w:hAnsi="宋体" w:eastAsia="宋体" w:cs="Times New Roman"/>
                <w:sz w:val="18"/>
                <w:szCs w:val="18"/>
              </w:rPr>
              <w:t>高治策略：开展</w:t>
            </w:r>
            <w:r>
              <w:rPr>
                <w:rFonts w:ascii="宋体" w:hAnsi="宋体" w:eastAsia="宋体" w:cs="Times New Roman"/>
                <w:sz w:val="18"/>
                <w:szCs w:val="18"/>
              </w:rPr>
              <w:t>源头减量、过程控制、末端治理</w:t>
            </w:r>
            <w:r>
              <w:rPr>
                <w:rFonts w:hint="eastAsia" w:ascii="宋体" w:hAnsi="宋体" w:eastAsia="宋体" w:cs="Times New Roman"/>
                <w:sz w:val="18"/>
                <w:szCs w:val="18"/>
              </w:rPr>
              <w:t>，</w:t>
            </w:r>
            <w:r>
              <w:rPr>
                <w:rFonts w:ascii="宋体" w:hAnsi="宋体" w:eastAsia="宋体" w:cs="Times New Roman"/>
                <w:sz w:val="18"/>
                <w:szCs w:val="18"/>
              </w:rPr>
              <w:t>运用多种技术手段系统开展综合整治</w:t>
            </w:r>
            <w:r>
              <w:rPr>
                <w:rFonts w:hint="eastAsia" w:ascii="宋体" w:hAnsi="宋体" w:eastAsia="宋体" w:cs="Times New Roman"/>
                <w:sz w:val="18"/>
                <w:szCs w:val="18"/>
              </w:rPr>
              <w:t>。</w:t>
            </w:r>
          </w:p>
          <w:p w14:paraId="4BBA25EB">
            <w:pPr>
              <w:pStyle w:val="84"/>
              <w:spacing w:line="240" w:lineRule="auto"/>
              <w:ind w:firstLine="0" w:firstLineChars="0"/>
              <w:rPr>
                <w:rFonts w:hint="eastAsia" w:ascii="宋体" w:hAnsi="宋体" w:eastAsia="宋体" w:cs="Times New Roman"/>
                <w:sz w:val="18"/>
                <w:szCs w:val="18"/>
              </w:rPr>
            </w:pPr>
            <w:r>
              <w:rPr>
                <w:rFonts w:ascii="宋体" w:hAnsi="宋体" w:eastAsia="宋体" w:cs="Times New Roman"/>
                <w:sz w:val="18"/>
                <w:szCs w:val="18"/>
              </w:rPr>
              <w:t>（1）针对高、中危害等级风险源，实施矿硐封堵、涌水引流、废渣清除等源头减量措施；</w:t>
            </w:r>
          </w:p>
          <w:p w14:paraId="3F4D81B0">
            <w:pPr>
              <w:pStyle w:val="84"/>
              <w:spacing w:line="240" w:lineRule="auto"/>
              <w:ind w:firstLine="0" w:firstLineChars="0"/>
              <w:jc w:val="left"/>
              <w:rPr>
                <w:rFonts w:hint="eastAsia" w:ascii="宋体" w:hAnsi="宋体" w:eastAsia="宋体" w:cs="Times New Roman"/>
                <w:sz w:val="18"/>
                <w:szCs w:val="18"/>
              </w:rPr>
            </w:pPr>
            <w:r>
              <w:rPr>
                <w:rFonts w:ascii="宋体" w:hAnsi="宋体" w:eastAsia="宋体" w:cs="Times New Roman"/>
                <w:sz w:val="18"/>
                <w:szCs w:val="18"/>
              </w:rPr>
              <w:t>（2）针对低危害等级风险源，实施矿硐简易封堵，废渣原位安全</w:t>
            </w:r>
            <w:r>
              <w:rPr>
                <w:rFonts w:hint="eastAsia" w:ascii="宋体" w:hAnsi="宋体" w:eastAsia="宋体" w:cs="Times New Roman"/>
                <w:sz w:val="18"/>
                <w:szCs w:val="18"/>
              </w:rPr>
              <w:t>填埋</w:t>
            </w:r>
            <w:r>
              <w:rPr>
                <w:rFonts w:ascii="宋体" w:hAnsi="宋体" w:eastAsia="宋体" w:cs="Times New Roman"/>
                <w:sz w:val="18"/>
                <w:szCs w:val="18"/>
              </w:rPr>
              <w:t>等措施；</w:t>
            </w:r>
          </w:p>
          <w:p w14:paraId="1B750432">
            <w:pPr>
              <w:pStyle w:val="84"/>
              <w:spacing w:line="240" w:lineRule="auto"/>
              <w:ind w:firstLine="0" w:firstLineChars="0"/>
              <w:jc w:val="left"/>
              <w:rPr>
                <w:rFonts w:hint="eastAsia" w:ascii="宋体" w:hAnsi="宋体" w:eastAsia="宋体" w:cs="Times New Roman"/>
                <w:sz w:val="18"/>
                <w:szCs w:val="18"/>
              </w:rPr>
            </w:pPr>
            <w:r>
              <w:rPr>
                <w:rFonts w:ascii="宋体" w:hAnsi="宋体" w:eastAsia="宋体" w:cs="Times New Roman"/>
                <w:sz w:val="18"/>
                <w:szCs w:val="18"/>
              </w:rPr>
              <w:t>（3）实施pH调节、PRB</w:t>
            </w:r>
            <w:r>
              <w:rPr>
                <w:rFonts w:hint="eastAsia" w:ascii="宋体" w:hAnsi="宋体" w:eastAsia="宋体" w:cs="Times New Roman"/>
                <w:sz w:val="18"/>
                <w:szCs w:val="18"/>
              </w:rPr>
              <w:t>（可渗透反应墙）</w:t>
            </w:r>
            <w:r>
              <w:rPr>
                <w:rFonts w:ascii="宋体" w:hAnsi="宋体" w:eastAsia="宋体" w:cs="Times New Roman"/>
                <w:sz w:val="18"/>
                <w:szCs w:val="18"/>
              </w:rPr>
              <w:t>污染吸附等过程控制；</w:t>
            </w:r>
          </w:p>
          <w:p w14:paraId="732EC209">
            <w:pPr>
              <w:pStyle w:val="84"/>
              <w:spacing w:line="240" w:lineRule="auto"/>
              <w:ind w:firstLine="0" w:firstLineChars="0"/>
              <w:jc w:val="left"/>
              <w:rPr>
                <w:rFonts w:hint="eastAsia" w:ascii="宋体" w:hAnsi="宋体" w:eastAsia="宋体" w:cs="Times New Roman"/>
                <w:sz w:val="18"/>
                <w:szCs w:val="18"/>
              </w:rPr>
            </w:pPr>
            <w:r>
              <w:rPr>
                <w:rFonts w:ascii="宋体" w:hAnsi="宋体" w:eastAsia="宋体" w:cs="Times New Roman"/>
                <w:sz w:val="18"/>
                <w:szCs w:val="18"/>
              </w:rPr>
              <w:t>（4）</w:t>
            </w:r>
            <w:r>
              <w:rPr>
                <w:rFonts w:hint="eastAsia" w:ascii="宋体" w:hAnsi="宋体" w:eastAsia="宋体" w:cs="Times New Roman"/>
                <w:sz w:val="18"/>
                <w:szCs w:val="18"/>
              </w:rPr>
              <w:t>当</w:t>
            </w:r>
            <w:r>
              <w:rPr>
                <w:rFonts w:ascii="宋体" w:hAnsi="宋体" w:eastAsia="宋体" w:cs="Times New Roman"/>
                <w:sz w:val="18"/>
                <w:szCs w:val="18"/>
              </w:rPr>
              <w:t>源头减量、过程控制</w:t>
            </w:r>
            <w:r>
              <w:rPr>
                <w:rFonts w:hint="eastAsia" w:ascii="宋体" w:hAnsi="宋体" w:eastAsia="宋体" w:cs="Times New Roman"/>
                <w:sz w:val="18"/>
                <w:szCs w:val="18"/>
              </w:rPr>
              <w:t>不能实现污染防控目标时</w:t>
            </w:r>
            <w:r>
              <w:rPr>
                <w:rFonts w:ascii="宋体" w:hAnsi="宋体" w:eastAsia="宋体" w:cs="Times New Roman"/>
                <w:sz w:val="18"/>
                <w:szCs w:val="18"/>
              </w:rPr>
              <w:t>，建设末端治理设施。</w:t>
            </w:r>
          </w:p>
        </w:tc>
      </w:tr>
      <w:tr w14:paraId="307CA4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31" w:type="dxa"/>
            <w:shd w:val="clear" w:color="auto" w:fill="auto"/>
            <w:vAlign w:val="center"/>
          </w:tcPr>
          <w:p w14:paraId="41597347">
            <w:pPr>
              <w:pStyle w:val="84"/>
              <w:spacing w:line="24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中风险单元</w:t>
            </w:r>
          </w:p>
        </w:tc>
        <w:tc>
          <w:tcPr>
            <w:tcW w:w="7230" w:type="dxa"/>
            <w:shd w:val="clear" w:color="auto" w:fill="auto"/>
            <w:vAlign w:val="center"/>
          </w:tcPr>
          <w:p w14:paraId="1FA83486">
            <w:pPr>
              <w:pStyle w:val="84"/>
              <w:spacing w:line="240" w:lineRule="auto"/>
              <w:ind w:firstLine="0" w:firstLineChars="0"/>
              <w:rPr>
                <w:rFonts w:hint="eastAsia" w:ascii="宋体" w:hAnsi="宋体" w:eastAsia="宋体" w:cs="Times New Roman"/>
                <w:sz w:val="18"/>
                <w:szCs w:val="18"/>
              </w:rPr>
            </w:pPr>
            <w:r>
              <w:rPr>
                <w:rFonts w:hint="eastAsia" w:ascii="宋体" w:hAnsi="宋体" w:eastAsia="宋体" w:cs="Times New Roman"/>
                <w:sz w:val="18"/>
                <w:szCs w:val="18"/>
              </w:rPr>
              <w:t>中控策略：</w:t>
            </w:r>
            <w:r>
              <w:rPr>
                <w:rFonts w:ascii="宋体" w:hAnsi="宋体" w:eastAsia="宋体" w:cs="Times New Roman"/>
                <w:sz w:val="18"/>
                <w:szCs w:val="18"/>
              </w:rPr>
              <w:t>管治结合、疏导优先、综合防控，优先开展</w:t>
            </w:r>
            <w:r>
              <w:rPr>
                <w:rFonts w:hint="eastAsia" w:ascii="宋体" w:hAnsi="宋体" w:eastAsia="宋体" w:cs="Times New Roman"/>
                <w:sz w:val="18"/>
                <w:szCs w:val="18"/>
              </w:rPr>
              <w:t>高</w:t>
            </w:r>
            <w:r>
              <w:rPr>
                <w:rFonts w:ascii="宋体" w:hAnsi="宋体" w:eastAsia="宋体" w:cs="Times New Roman"/>
                <w:sz w:val="18"/>
                <w:szCs w:val="18"/>
              </w:rPr>
              <w:t>风险等级污染源整治，因地制宜选择人工修复与自然恢复相结合的综合治理技术</w:t>
            </w:r>
            <w:r>
              <w:rPr>
                <w:rFonts w:hint="eastAsia" w:ascii="宋体" w:hAnsi="宋体" w:eastAsia="宋体" w:cs="Times New Roman"/>
                <w:sz w:val="18"/>
                <w:szCs w:val="18"/>
              </w:rPr>
              <w:t>。</w:t>
            </w:r>
          </w:p>
          <w:p w14:paraId="12F3C855">
            <w:pPr>
              <w:pStyle w:val="84"/>
              <w:spacing w:line="240" w:lineRule="auto"/>
              <w:ind w:firstLine="0" w:firstLineChars="0"/>
              <w:rPr>
                <w:rFonts w:hint="eastAsia" w:ascii="宋体" w:hAnsi="宋体" w:eastAsia="宋体" w:cs="Times New Roman"/>
                <w:sz w:val="18"/>
                <w:szCs w:val="18"/>
              </w:rPr>
            </w:pPr>
            <w:r>
              <w:rPr>
                <w:rFonts w:ascii="宋体" w:hAnsi="宋体" w:eastAsia="宋体" w:cs="Times New Roman"/>
                <w:sz w:val="18"/>
                <w:szCs w:val="18"/>
              </w:rPr>
              <w:t>（1）针对高、中危害等级风险源，实施导水疏排、防渗覆盖、原位封存等源头阻控措施；</w:t>
            </w:r>
          </w:p>
          <w:p w14:paraId="2D591B94">
            <w:pPr>
              <w:pStyle w:val="84"/>
              <w:spacing w:line="240" w:lineRule="auto"/>
              <w:ind w:firstLine="0" w:firstLineChars="0"/>
              <w:rPr>
                <w:rFonts w:hint="eastAsia" w:ascii="宋体" w:hAnsi="宋体" w:eastAsia="宋体" w:cs="Times New Roman"/>
                <w:sz w:val="18"/>
                <w:szCs w:val="18"/>
              </w:rPr>
            </w:pPr>
            <w:r>
              <w:rPr>
                <w:rFonts w:ascii="宋体" w:hAnsi="宋体" w:eastAsia="宋体" w:cs="Times New Roman"/>
                <w:sz w:val="18"/>
                <w:szCs w:val="18"/>
              </w:rPr>
              <w:t>（2）针对低危害等级风险源，</w:t>
            </w:r>
            <w:r>
              <w:rPr>
                <w:rFonts w:hint="eastAsia" w:ascii="宋体" w:hAnsi="宋体" w:eastAsia="宋体" w:cs="Times New Roman"/>
                <w:sz w:val="18"/>
                <w:szCs w:val="18"/>
              </w:rPr>
              <w:t>依据TD/T 1070.3等相关要求开展</w:t>
            </w:r>
            <w:r>
              <w:rPr>
                <w:rFonts w:ascii="宋体" w:hAnsi="宋体" w:eastAsia="宋体" w:cs="Times New Roman"/>
                <w:sz w:val="18"/>
                <w:szCs w:val="18"/>
              </w:rPr>
              <w:t>自然修复，加强环境监测；</w:t>
            </w:r>
          </w:p>
          <w:p w14:paraId="4E83C72B">
            <w:pPr>
              <w:pStyle w:val="84"/>
              <w:spacing w:line="240" w:lineRule="auto"/>
              <w:ind w:firstLine="0" w:firstLineChars="0"/>
              <w:rPr>
                <w:rFonts w:hint="eastAsia" w:ascii="宋体" w:hAnsi="宋体" w:eastAsia="宋体" w:cs="Times New Roman"/>
                <w:sz w:val="18"/>
                <w:szCs w:val="18"/>
              </w:rPr>
            </w:pPr>
            <w:r>
              <w:rPr>
                <w:rFonts w:ascii="宋体" w:hAnsi="宋体" w:eastAsia="宋体" w:cs="Times New Roman"/>
                <w:sz w:val="18"/>
                <w:szCs w:val="18"/>
              </w:rPr>
              <w:t>（3）实施关键水文通道封堵</w:t>
            </w:r>
            <w:r>
              <w:rPr>
                <w:rFonts w:hint="eastAsia" w:ascii="宋体" w:hAnsi="宋体" w:eastAsia="宋体" w:cs="Times New Roman"/>
                <w:sz w:val="18"/>
                <w:szCs w:val="18"/>
              </w:rPr>
              <w:t>引流</w:t>
            </w:r>
            <w:r>
              <w:rPr>
                <w:rFonts w:ascii="宋体" w:hAnsi="宋体" w:eastAsia="宋体" w:cs="Times New Roman"/>
                <w:sz w:val="18"/>
                <w:szCs w:val="18"/>
              </w:rPr>
              <w:t>、清污分流等疏导工程。</w:t>
            </w:r>
          </w:p>
        </w:tc>
      </w:tr>
      <w:tr w14:paraId="6CE54D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31" w:type="dxa"/>
            <w:shd w:val="clear" w:color="auto" w:fill="auto"/>
            <w:vAlign w:val="center"/>
          </w:tcPr>
          <w:p w14:paraId="38C44619">
            <w:pPr>
              <w:pStyle w:val="84"/>
              <w:spacing w:line="240" w:lineRule="auto"/>
              <w:ind w:firstLine="0" w:firstLineChars="0"/>
              <w:jc w:val="center"/>
              <w:rPr>
                <w:rFonts w:hint="eastAsia" w:ascii="宋体" w:hAnsi="宋体" w:eastAsia="宋体" w:cs="Times New Roman"/>
                <w:sz w:val="18"/>
                <w:szCs w:val="18"/>
              </w:rPr>
            </w:pPr>
            <w:r>
              <w:rPr>
                <w:rFonts w:ascii="宋体" w:hAnsi="宋体" w:eastAsia="宋体" w:cs="Times New Roman"/>
                <w:sz w:val="18"/>
                <w:szCs w:val="18"/>
              </w:rPr>
              <w:t>低风险单元</w:t>
            </w:r>
          </w:p>
        </w:tc>
        <w:tc>
          <w:tcPr>
            <w:tcW w:w="7230" w:type="dxa"/>
            <w:shd w:val="clear" w:color="auto" w:fill="auto"/>
            <w:vAlign w:val="center"/>
          </w:tcPr>
          <w:p w14:paraId="5CC1FADB">
            <w:pPr>
              <w:pStyle w:val="84"/>
              <w:spacing w:line="240" w:lineRule="auto"/>
              <w:ind w:firstLine="0" w:firstLineChars="0"/>
              <w:rPr>
                <w:rFonts w:hint="eastAsia" w:ascii="宋体" w:hAnsi="宋体" w:eastAsia="宋体" w:cs="Times New Roman"/>
                <w:sz w:val="18"/>
                <w:szCs w:val="18"/>
              </w:rPr>
            </w:pPr>
            <w:r>
              <w:rPr>
                <w:rFonts w:hint="eastAsia" w:ascii="宋体" w:hAnsi="宋体" w:eastAsia="宋体" w:cs="Times New Roman"/>
                <w:sz w:val="18"/>
                <w:szCs w:val="18"/>
              </w:rPr>
              <w:t>低防策略：</w:t>
            </w:r>
            <w:r>
              <w:rPr>
                <w:rFonts w:ascii="宋体" w:hAnsi="宋体" w:eastAsia="宋体" w:cs="Times New Roman"/>
                <w:sz w:val="18"/>
                <w:szCs w:val="18"/>
              </w:rPr>
              <w:t>以防为主、</w:t>
            </w:r>
            <w:r>
              <w:rPr>
                <w:rFonts w:hint="eastAsia" w:ascii="宋体" w:hAnsi="宋体" w:eastAsia="宋体" w:cs="Times New Roman"/>
                <w:sz w:val="18"/>
                <w:szCs w:val="18"/>
              </w:rPr>
              <w:t>依靠自然、</w:t>
            </w:r>
            <w:r>
              <w:rPr>
                <w:rFonts w:ascii="宋体" w:hAnsi="宋体" w:eastAsia="宋体" w:cs="Times New Roman"/>
                <w:sz w:val="18"/>
                <w:szCs w:val="18"/>
              </w:rPr>
              <w:t>强化监测，</w:t>
            </w:r>
            <w:r>
              <w:rPr>
                <w:rFonts w:hint="eastAsia" w:ascii="宋体" w:hAnsi="宋体" w:eastAsia="宋体" w:cs="Times New Roman"/>
                <w:sz w:val="18"/>
                <w:szCs w:val="18"/>
              </w:rPr>
              <w:t>促进生态环境休养生息。</w:t>
            </w:r>
          </w:p>
          <w:p w14:paraId="18C1923B">
            <w:pPr>
              <w:pStyle w:val="84"/>
              <w:spacing w:line="240" w:lineRule="auto"/>
              <w:ind w:firstLine="0" w:firstLineChars="0"/>
              <w:rPr>
                <w:rFonts w:hint="eastAsia" w:ascii="宋体" w:hAnsi="宋体" w:eastAsia="宋体" w:cs="Times New Roman"/>
                <w:sz w:val="18"/>
                <w:szCs w:val="18"/>
              </w:rPr>
            </w:pPr>
            <w:r>
              <w:rPr>
                <w:rFonts w:hint="eastAsia" w:ascii="宋体" w:hAnsi="宋体" w:eastAsia="宋体" w:cs="Times New Roman"/>
                <w:sz w:val="18"/>
                <w:szCs w:val="18"/>
              </w:rPr>
              <w:t>（1）充分依靠自然，</w:t>
            </w:r>
            <w:r>
              <w:rPr>
                <w:rFonts w:ascii="宋体" w:hAnsi="宋体" w:eastAsia="宋体" w:cs="Times New Roman"/>
                <w:sz w:val="18"/>
                <w:szCs w:val="18"/>
              </w:rPr>
              <w:t>以自然修复为主人工修复为辅</w:t>
            </w:r>
            <w:r>
              <w:rPr>
                <w:rFonts w:hint="eastAsia" w:ascii="宋体" w:hAnsi="宋体" w:eastAsia="宋体" w:cs="Times New Roman"/>
                <w:sz w:val="18"/>
                <w:szCs w:val="18"/>
              </w:rPr>
              <w:t>；</w:t>
            </w:r>
          </w:p>
          <w:p w14:paraId="55139FC6">
            <w:pPr>
              <w:pStyle w:val="84"/>
              <w:spacing w:line="240" w:lineRule="auto"/>
              <w:ind w:firstLine="0" w:firstLineChars="0"/>
              <w:rPr>
                <w:rFonts w:hint="eastAsia" w:ascii="宋体" w:hAnsi="宋体" w:eastAsia="宋体" w:cs="Times New Roman"/>
                <w:sz w:val="18"/>
                <w:szCs w:val="18"/>
              </w:rPr>
            </w:pPr>
            <w:r>
              <w:rPr>
                <w:rFonts w:ascii="宋体" w:hAnsi="宋体" w:eastAsia="宋体" w:cs="Times New Roman"/>
                <w:sz w:val="18"/>
                <w:szCs w:val="18"/>
              </w:rPr>
              <w:t>（2）</w:t>
            </w:r>
            <w:r>
              <w:rPr>
                <w:rFonts w:hint="eastAsia" w:ascii="宋体" w:hAnsi="宋体" w:eastAsia="宋体" w:cs="Times New Roman"/>
                <w:sz w:val="18"/>
                <w:szCs w:val="18"/>
              </w:rPr>
              <w:t>若风险单元内存在高危害等级风险源，加强巡查、定期监测。</w:t>
            </w:r>
          </w:p>
        </w:tc>
      </w:tr>
      <w:bookmarkEnd w:id="113"/>
    </w:tbl>
    <w:p w14:paraId="33DD76F6">
      <w:pPr>
        <w:pStyle w:val="3"/>
        <w:widowControl/>
        <w:spacing w:before="120" w:after="156" w:afterLines="50" w:line="360" w:lineRule="auto"/>
        <w:ind w:left="227" w:hanging="227"/>
        <w:jc w:val="left"/>
        <w:rPr>
          <w:rFonts w:hint="eastAsia" w:ascii="黑体" w:hAnsi="黑体" w:eastAsia="黑体"/>
          <w:b w:val="0"/>
          <w:kern w:val="0"/>
          <w:sz w:val="21"/>
          <w:szCs w:val="21"/>
        </w:rPr>
      </w:pPr>
      <w:bookmarkStart w:id="114" w:name="_Toc181892267"/>
      <w:bookmarkStart w:id="115" w:name="_Toc194588999"/>
      <w:bookmarkStart w:id="116" w:name="_Toc181892430"/>
      <w:bookmarkStart w:id="117" w:name="_Hlk185101894"/>
      <w:r>
        <w:rPr>
          <w:rFonts w:hint="eastAsia" w:ascii="黑体" w:hAnsi="黑体" w:eastAsia="黑体"/>
          <w:b w:val="0"/>
          <w:kern w:val="0"/>
          <w:sz w:val="21"/>
          <w:szCs w:val="21"/>
        </w:rPr>
        <w:t>8 报告编制</w:t>
      </w:r>
      <w:bookmarkEnd w:id="114"/>
      <w:bookmarkEnd w:id="115"/>
      <w:bookmarkEnd w:id="116"/>
    </w:p>
    <w:bookmarkEnd w:id="40"/>
    <w:bookmarkEnd w:id="41"/>
    <w:bookmarkEnd w:id="117"/>
    <w:p w14:paraId="522999B3">
      <w:pPr>
        <w:pStyle w:val="105"/>
        <w:ind w:firstLine="420" w:firstLineChars="200"/>
      </w:pPr>
      <w:bookmarkStart w:id="118" w:name="_Toc193268285"/>
      <w:bookmarkStart w:id="119" w:name="_Toc194589000"/>
      <w:bookmarkStart w:id="120" w:name="_Hlk185102390"/>
      <w:r>
        <w:rPr>
          <w:rFonts w:hint="eastAsia" w:ascii="黑体" w:hAnsi="黑体" w:eastAsia="黑体" w:cs="黑体"/>
        </w:rPr>
        <w:t>8.1</w:t>
      </w:r>
      <w:r>
        <w:rPr>
          <w:rFonts w:hint="eastAsia"/>
        </w:rPr>
        <w:t>报告编制记录信息收集与分析、风险单元划分、风险识别、风险量化、风险分级、风险表达、环境风险防控目标制定等相关工作过程，提出污染风险防控策略建议，报告大纲见附录D。</w:t>
      </w:r>
      <w:bookmarkEnd w:id="118"/>
      <w:bookmarkEnd w:id="119"/>
    </w:p>
    <w:bookmarkEnd w:id="120"/>
    <w:p w14:paraId="20FA5C2B">
      <w:pPr>
        <w:pStyle w:val="105"/>
        <w:ind w:firstLine="420" w:firstLineChars="200"/>
      </w:pPr>
      <w:bookmarkStart w:id="121" w:name="_Toc193268286"/>
      <w:bookmarkStart w:id="122" w:name="_Toc194589001"/>
      <w:r>
        <w:rPr>
          <w:rFonts w:hint="eastAsia" w:ascii="黑体" w:hAnsi="黑体" w:eastAsia="黑体" w:cs="黑体"/>
        </w:rPr>
        <w:t xml:space="preserve">8.2 </w:t>
      </w:r>
      <w:r>
        <w:rPr>
          <w:rFonts w:hint="eastAsia"/>
        </w:rPr>
        <w:t>报告成果为《涉金属矿山分区风险评估及防控策略报告》，及附件：矿山污染风险单元平面分布图、环境风险受体分布图、污染风险等级划分各指标评分表、污染风险防控图等。</w:t>
      </w:r>
      <w:bookmarkEnd w:id="121"/>
      <w:bookmarkEnd w:id="122"/>
    </w:p>
    <w:p w14:paraId="4D706C34">
      <w:pPr>
        <w:pStyle w:val="105"/>
        <w:spacing w:before="100" w:after="100"/>
        <w:sectPr>
          <w:footerReference r:id="rId9" w:type="default"/>
          <w:pgSz w:w="11906" w:h="16838"/>
          <w:pgMar w:top="1440" w:right="1800" w:bottom="1440" w:left="1800" w:header="851" w:footer="992" w:gutter="0"/>
          <w:pgNumType w:start="1"/>
          <w:cols w:space="720" w:num="1"/>
          <w:docGrid w:type="lines" w:linePitch="312" w:charSpace="0"/>
        </w:sectPr>
      </w:pPr>
      <w:bookmarkStart w:id="123" w:name="_Toc8965_WPSOffice_Level3"/>
      <w:bookmarkStart w:id="124" w:name="_Toc28566"/>
    </w:p>
    <w:p w14:paraId="2A2059CE">
      <w:pPr>
        <w:pageBreakBefore/>
        <w:overflowPunct w:val="0"/>
        <w:adjustRightInd w:val="0"/>
        <w:snapToGrid w:val="0"/>
        <w:spacing w:before="120" w:after="120"/>
        <w:jc w:val="center"/>
        <w:outlineLvl w:val="0"/>
        <w:rPr>
          <w:rFonts w:hint="eastAsia" w:ascii="黑体" w:hAnsi="黑体" w:eastAsia="黑体" w:cs="黑体"/>
          <w:bCs/>
          <w:kern w:val="36"/>
          <w:szCs w:val="21"/>
        </w:rPr>
      </w:pPr>
      <w:bookmarkStart w:id="125" w:name="_Toc194589002"/>
      <w:r>
        <w:rPr>
          <w:rFonts w:hint="eastAsia" w:ascii="黑体" w:hAnsi="黑体" w:eastAsia="黑体" w:cs="黑体"/>
          <w:bCs/>
          <w:kern w:val="36"/>
          <w:szCs w:val="21"/>
        </w:rPr>
        <w:t xml:space="preserve">附  录 A </w:t>
      </w:r>
      <w:r>
        <w:rPr>
          <w:rFonts w:hint="eastAsia" w:ascii="黑体" w:hAnsi="黑体" w:eastAsia="黑体" w:cs="黑体"/>
          <w:bCs/>
          <w:kern w:val="36"/>
          <w:szCs w:val="21"/>
        </w:rPr>
        <w:br w:type="textWrapping"/>
      </w:r>
      <w:bookmarkEnd w:id="123"/>
      <w:bookmarkEnd w:id="124"/>
      <w:r>
        <w:rPr>
          <w:rFonts w:hint="eastAsia" w:ascii="黑体" w:hAnsi="黑体" w:eastAsia="黑体" w:cs="黑体"/>
          <w:bCs/>
          <w:kern w:val="36"/>
          <w:szCs w:val="21"/>
        </w:rPr>
        <w:t>（规范性）</w:t>
      </w:r>
      <w:bookmarkEnd w:id="125"/>
    </w:p>
    <w:p w14:paraId="3621EC1C">
      <w:pPr>
        <w:pStyle w:val="71"/>
      </w:pPr>
      <w:bookmarkStart w:id="126" w:name="_Toc193268288"/>
      <w:bookmarkStart w:id="127" w:name="_Toc193189072"/>
      <w:bookmarkStart w:id="128" w:name="_Toc183542817"/>
      <w:bookmarkStart w:id="129" w:name="_Toc185097911"/>
      <w:bookmarkStart w:id="130" w:name="_Toc194589003"/>
      <w:r>
        <w:rPr>
          <w:rFonts w:hint="eastAsia"/>
        </w:rPr>
        <w:t>风险源危害性指标评分表</w:t>
      </w:r>
      <w:bookmarkEnd w:id="126"/>
      <w:bookmarkEnd w:id="127"/>
      <w:bookmarkEnd w:id="128"/>
      <w:bookmarkEnd w:id="129"/>
      <w:bookmarkEnd w:id="130"/>
    </w:p>
    <w:p w14:paraId="4E6BB175">
      <w:pPr>
        <w:pStyle w:val="2"/>
        <w:spacing w:before="120" w:beforeAutospacing="0" w:afterAutospacing="0"/>
        <w:jc w:val="center"/>
        <w:rPr>
          <w:rFonts w:ascii="黑体" w:hAnsi="黑体" w:eastAsia="黑体" w:cs="黑体"/>
          <w:b w:val="0"/>
          <w:bCs/>
          <w:kern w:val="36"/>
          <w:sz w:val="21"/>
          <w:szCs w:val="21"/>
        </w:rPr>
      </w:pPr>
      <w:bookmarkStart w:id="131" w:name="_Toc194589004"/>
      <w:bookmarkStart w:id="132" w:name="_Toc193268289"/>
      <w:bookmarkStart w:id="133" w:name="_Toc182575445"/>
      <w:bookmarkStart w:id="134" w:name="_Toc193189073"/>
      <w:bookmarkStart w:id="135" w:name="_Toc183542818"/>
      <w:r>
        <w:rPr>
          <w:rFonts w:ascii="黑体" w:hAnsi="黑体" w:eastAsia="黑体" w:cs="黑体"/>
          <w:b w:val="0"/>
          <w:bCs/>
          <w:kern w:val="36"/>
          <w:sz w:val="21"/>
          <w:szCs w:val="21"/>
        </w:rPr>
        <w:t>表A.1 废渣风险源危害性指标评分表</w:t>
      </w:r>
      <w:bookmarkEnd w:id="131"/>
      <w:bookmarkEnd w:id="132"/>
      <w:bookmarkEnd w:id="133"/>
      <w:bookmarkEnd w:id="134"/>
      <w:bookmarkEnd w:id="135"/>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816"/>
        <w:gridCol w:w="929"/>
        <w:gridCol w:w="1164"/>
        <w:gridCol w:w="3203"/>
        <w:gridCol w:w="883"/>
        <w:gridCol w:w="654"/>
      </w:tblGrid>
      <w:tr w14:paraId="4692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512" w:type="pct"/>
            <w:shd w:val="clear" w:color="auto" w:fill="auto"/>
            <w:noWrap/>
            <w:vAlign w:val="center"/>
          </w:tcPr>
          <w:p w14:paraId="1483B3B1">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目标层</w:t>
            </w:r>
          </w:p>
        </w:tc>
        <w:tc>
          <w:tcPr>
            <w:tcW w:w="479" w:type="pct"/>
            <w:shd w:val="clear" w:color="auto" w:fill="auto"/>
            <w:vAlign w:val="center"/>
          </w:tcPr>
          <w:p w14:paraId="1B914D24">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准则层</w:t>
            </w:r>
          </w:p>
        </w:tc>
        <w:tc>
          <w:tcPr>
            <w:tcW w:w="1228" w:type="pct"/>
            <w:gridSpan w:val="2"/>
            <w:shd w:val="clear" w:color="auto" w:fill="auto"/>
            <w:vAlign w:val="center"/>
          </w:tcPr>
          <w:p w14:paraId="30492EA1">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指标层</w:t>
            </w:r>
          </w:p>
        </w:tc>
        <w:tc>
          <w:tcPr>
            <w:tcW w:w="1879" w:type="pct"/>
            <w:shd w:val="clear" w:color="auto" w:fill="auto"/>
            <w:vAlign w:val="center"/>
          </w:tcPr>
          <w:p w14:paraId="028E9415">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分级标准</w:t>
            </w:r>
          </w:p>
        </w:tc>
        <w:tc>
          <w:tcPr>
            <w:tcW w:w="518" w:type="pct"/>
            <w:shd w:val="clear" w:color="auto" w:fill="auto"/>
            <w:vAlign w:val="center"/>
          </w:tcPr>
          <w:p w14:paraId="32D3A8F2">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分值</w:t>
            </w:r>
          </w:p>
        </w:tc>
        <w:tc>
          <w:tcPr>
            <w:tcW w:w="385" w:type="pct"/>
            <w:shd w:val="clear" w:color="auto" w:fill="auto"/>
            <w:noWrap/>
            <w:vAlign w:val="center"/>
          </w:tcPr>
          <w:p w14:paraId="7D05120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合计</w:t>
            </w:r>
          </w:p>
        </w:tc>
      </w:tr>
      <w:tr w14:paraId="418F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restart"/>
            <w:shd w:val="clear" w:color="auto" w:fill="auto"/>
            <w:vAlign w:val="center"/>
          </w:tcPr>
          <w:p w14:paraId="74D95D9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废渣风险源危害性</w:t>
            </w:r>
          </w:p>
        </w:tc>
        <w:tc>
          <w:tcPr>
            <w:tcW w:w="479" w:type="pct"/>
            <w:vMerge w:val="restart"/>
            <w:shd w:val="clear" w:color="auto" w:fill="auto"/>
            <w:vAlign w:val="center"/>
          </w:tcPr>
          <w:p w14:paraId="51E91737">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类型</w:t>
            </w:r>
          </w:p>
        </w:tc>
        <w:tc>
          <w:tcPr>
            <w:tcW w:w="1228" w:type="pct"/>
            <w:gridSpan w:val="2"/>
            <w:vMerge w:val="restart"/>
            <w:shd w:val="clear" w:color="auto" w:fill="auto"/>
            <w:vAlign w:val="center"/>
          </w:tcPr>
          <w:p w14:paraId="762C8865">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废渣属性</w:t>
            </w:r>
          </w:p>
        </w:tc>
        <w:tc>
          <w:tcPr>
            <w:tcW w:w="1879" w:type="pct"/>
            <w:shd w:val="clear" w:color="auto" w:fill="auto"/>
            <w:vAlign w:val="center"/>
          </w:tcPr>
          <w:p w14:paraId="25798EB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危险废物</w:t>
            </w:r>
          </w:p>
        </w:tc>
        <w:tc>
          <w:tcPr>
            <w:tcW w:w="518" w:type="pct"/>
            <w:shd w:val="clear" w:color="auto" w:fill="auto"/>
            <w:vAlign w:val="center"/>
          </w:tcPr>
          <w:p w14:paraId="4364DE6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p>
        </w:tc>
        <w:tc>
          <w:tcPr>
            <w:tcW w:w="385" w:type="pct"/>
            <w:vMerge w:val="restart"/>
            <w:shd w:val="clear" w:color="auto" w:fill="auto"/>
            <w:noWrap/>
            <w:vAlign w:val="center"/>
          </w:tcPr>
          <w:p w14:paraId="0FB583D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30</w:t>
            </w:r>
          </w:p>
        </w:tc>
      </w:tr>
      <w:tr w14:paraId="5C3E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3F345EE1">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5728B9F9">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5073764C">
            <w:pPr>
              <w:widowControl/>
              <w:jc w:val="left"/>
              <w:rPr>
                <w:rFonts w:hint="eastAsia" w:ascii="宋体" w:hAnsi="宋体" w:eastAsia="宋体"/>
                <w:color w:val="000000"/>
                <w:kern w:val="0"/>
                <w:sz w:val="18"/>
                <w:szCs w:val="18"/>
              </w:rPr>
            </w:pPr>
          </w:p>
        </w:tc>
        <w:tc>
          <w:tcPr>
            <w:tcW w:w="1879" w:type="pct"/>
            <w:shd w:val="clear" w:color="auto" w:fill="auto"/>
            <w:vAlign w:val="center"/>
          </w:tcPr>
          <w:p w14:paraId="788E3093">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一般工业固体废物（</w:t>
            </w:r>
            <w:r>
              <w:rPr>
                <w:rFonts w:ascii="宋体" w:hAnsi="宋体" w:eastAsia="宋体"/>
                <w:color w:val="000000"/>
                <w:kern w:val="0"/>
                <w:sz w:val="18"/>
                <w:szCs w:val="18"/>
              </w:rPr>
              <w:t xml:space="preserve">II </w:t>
            </w:r>
            <w:r>
              <w:rPr>
                <w:rFonts w:hint="eastAsia" w:ascii="宋体" w:hAnsi="宋体" w:eastAsia="宋体"/>
                <w:color w:val="000000"/>
                <w:kern w:val="0"/>
                <w:sz w:val="18"/>
                <w:szCs w:val="18"/>
              </w:rPr>
              <w:t>类）</w:t>
            </w:r>
          </w:p>
        </w:tc>
        <w:tc>
          <w:tcPr>
            <w:tcW w:w="518" w:type="pct"/>
            <w:shd w:val="clear" w:color="auto" w:fill="auto"/>
            <w:vAlign w:val="center"/>
          </w:tcPr>
          <w:p w14:paraId="01EA77FC">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7</w:t>
            </w:r>
          </w:p>
        </w:tc>
        <w:tc>
          <w:tcPr>
            <w:tcW w:w="385" w:type="pct"/>
            <w:vMerge w:val="continue"/>
            <w:shd w:val="clear" w:color="auto" w:fill="auto"/>
            <w:vAlign w:val="center"/>
          </w:tcPr>
          <w:p w14:paraId="1B09A656">
            <w:pPr>
              <w:widowControl/>
              <w:jc w:val="left"/>
              <w:rPr>
                <w:rFonts w:hint="eastAsia" w:ascii="宋体" w:hAnsi="宋体" w:eastAsia="宋体"/>
                <w:color w:val="000000"/>
                <w:kern w:val="0"/>
                <w:sz w:val="18"/>
                <w:szCs w:val="18"/>
              </w:rPr>
            </w:pPr>
          </w:p>
        </w:tc>
      </w:tr>
      <w:tr w14:paraId="06A2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767151A4">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7455FE61">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220CCE8B">
            <w:pPr>
              <w:widowControl/>
              <w:jc w:val="left"/>
              <w:rPr>
                <w:rFonts w:hint="eastAsia" w:ascii="宋体" w:hAnsi="宋体" w:eastAsia="宋体"/>
                <w:color w:val="000000"/>
                <w:kern w:val="0"/>
                <w:sz w:val="18"/>
                <w:szCs w:val="18"/>
              </w:rPr>
            </w:pPr>
          </w:p>
        </w:tc>
        <w:tc>
          <w:tcPr>
            <w:tcW w:w="1879" w:type="pct"/>
            <w:shd w:val="clear" w:color="auto" w:fill="auto"/>
            <w:vAlign w:val="center"/>
          </w:tcPr>
          <w:p w14:paraId="605C7559">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一般工业固体废物（</w:t>
            </w:r>
            <w:r>
              <w:rPr>
                <w:rFonts w:ascii="宋体" w:hAnsi="宋体" w:eastAsia="宋体"/>
                <w:color w:val="000000"/>
                <w:kern w:val="0"/>
                <w:sz w:val="18"/>
                <w:szCs w:val="18"/>
              </w:rPr>
              <w:t xml:space="preserve">I </w:t>
            </w:r>
            <w:r>
              <w:rPr>
                <w:rFonts w:hint="eastAsia" w:ascii="宋体" w:hAnsi="宋体" w:eastAsia="宋体"/>
                <w:color w:val="000000"/>
                <w:kern w:val="0"/>
                <w:sz w:val="18"/>
                <w:szCs w:val="18"/>
              </w:rPr>
              <w:t>类）</w:t>
            </w:r>
          </w:p>
        </w:tc>
        <w:tc>
          <w:tcPr>
            <w:tcW w:w="518" w:type="pct"/>
            <w:shd w:val="clear" w:color="auto" w:fill="auto"/>
            <w:vAlign w:val="center"/>
          </w:tcPr>
          <w:p w14:paraId="560EC2C7">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3</w:t>
            </w:r>
          </w:p>
        </w:tc>
        <w:tc>
          <w:tcPr>
            <w:tcW w:w="385" w:type="pct"/>
            <w:vMerge w:val="continue"/>
            <w:shd w:val="clear" w:color="auto" w:fill="auto"/>
            <w:vAlign w:val="center"/>
          </w:tcPr>
          <w:p w14:paraId="0F533845">
            <w:pPr>
              <w:widowControl/>
              <w:jc w:val="left"/>
              <w:rPr>
                <w:rFonts w:hint="eastAsia" w:ascii="宋体" w:hAnsi="宋体" w:eastAsia="宋体"/>
                <w:color w:val="000000"/>
                <w:kern w:val="0"/>
                <w:sz w:val="18"/>
                <w:szCs w:val="18"/>
              </w:rPr>
            </w:pPr>
          </w:p>
        </w:tc>
      </w:tr>
      <w:tr w14:paraId="2125A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1D32B11D">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3CC15B56">
            <w:pPr>
              <w:widowControl/>
              <w:jc w:val="left"/>
              <w:rPr>
                <w:rFonts w:hint="eastAsia" w:ascii="宋体" w:hAnsi="宋体" w:eastAsia="宋体"/>
                <w:color w:val="000000"/>
                <w:kern w:val="0"/>
                <w:sz w:val="18"/>
                <w:szCs w:val="18"/>
              </w:rPr>
            </w:pPr>
          </w:p>
        </w:tc>
        <w:tc>
          <w:tcPr>
            <w:tcW w:w="1228" w:type="pct"/>
            <w:gridSpan w:val="2"/>
            <w:vMerge w:val="restart"/>
            <w:shd w:val="clear" w:color="auto" w:fill="auto"/>
            <w:vAlign w:val="center"/>
          </w:tcPr>
          <w:p w14:paraId="60D9B5C0">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生态恢复状况</w:t>
            </w:r>
          </w:p>
        </w:tc>
        <w:tc>
          <w:tcPr>
            <w:tcW w:w="1879" w:type="pct"/>
            <w:shd w:val="clear" w:color="auto" w:fill="auto"/>
            <w:vAlign w:val="center"/>
          </w:tcPr>
          <w:p w14:paraId="1B1E79D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几乎无任何防控措施，废渣裸露</w:t>
            </w:r>
          </w:p>
        </w:tc>
        <w:tc>
          <w:tcPr>
            <w:tcW w:w="518" w:type="pct"/>
            <w:shd w:val="clear" w:color="auto" w:fill="auto"/>
            <w:vAlign w:val="center"/>
          </w:tcPr>
          <w:p w14:paraId="7B3506F1">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8</w:t>
            </w:r>
          </w:p>
        </w:tc>
        <w:tc>
          <w:tcPr>
            <w:tcW w:w="385" w:type="pct"/>
            <w:vMerge w:val="continue"/>
            <w:shd w:val="clear" w:color="auto" w:fill="auto"/>
            <w:vAlign w:val="center"/>
          </w:tcPr>
          <w:p w14:paraId="3C584396">
            <w:pPr>
              <w:widowControl/>
              <w:jc w:val="left"/>
              <w:rPr>
                <w:rFonts w:hint="eastAsia" w:ascii="宋体" w:hAnsi="宋体" w:eastAsia="宋体"/>
                <w:color w:val="000000"/>
                <w:kern w:val="0"/>
                <w:sz w:val="18"/>
                <w:szCs w:val="18"/>
              </w:rPr>
            </w:pPr>
          </w:p>
        </w:tc>
      </w:tr>
      <w:tr w14:paraId="4D27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3D1F2E12">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70372C0C">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0FA1BB74">
            <w:pPr>
              <w:widowControl/>
              <w:jc w:val="left"/>
              <w:rPr>
                <w:rFonts w:hint="eastAsia" w:ascii="宋体" w:hAnsi="宋体" w:eastAsia="宋体"/>
                <w:color w:val="000000"/>
                <w:kern w:val="0"/>
                <w:sz w:val="18"/>
                <w:szCs w:val="18"/>
              </w:rPr>
            </w:pPr>
          </w:p>
        </w:tc>
        <w:tc>
          <w:tcPr>
            <w:tcW w:w="1879" w:type="pct"/>
            <w:shd w:val="clear" w:color="auto" w:fill="auto"/>
            <w:vAlign w:val="center"/>
          </w:tcPr>
          <w:p w14:paraId="4AA1049E">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有植被生长，大部分区域裸漏</w:t>
            </w:r>
          </w:p>
        </w:tc>
        <w:tc>
          <w:tcPr>
            <w:tcW w:w="518" w:type="pct"/>
            <w:shd w:val="clear" w:color="auto" w:fill="auto"/>
            <w:vAlign w:val="center"/>
          </w:tcPr>
          <w:p w14:paraId="1E3AF313">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6</w:t>
            </w:r>
          </w:p>
        </w:tc>
        <w:tc>
          <w:tcPr>
            <w:tcW w:w="385" w:type="pct"/>
            <w:vMerge w:val="continue"/>
            <w:shd w:val="clear" w:color="auto" w:fill="auto"/>
            <w:vAlign w:val="center"/>
          </w:tcPr>
          <w:p w14:paraId="568BD2ED">
            <w:pPr>
              <w:widowControl/>
              <w:jc w:val="left"/>
              <w:rPr>
                <w:rFonts w:hint="eastAsia" w:ascii="宋体" w:hAnsi="宋体" w:eastAsia="宋体"/>
                <w:color w:val="000000"/>
                <w:kern w:val="0"/>
                <w:sz w:val="18"/>
                <w:szCs w:val="18"/>
              </w:rPr>
            </w:pPr>
          </w:p>
        </w:tc>
      </w:tr>
      <w:tr w14:paraId="032C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0964A5B2">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75354346">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1762DBAE">
            <w:pPr>
              <w:widowControl/>
              <w:jc w:val="left"/>
              <w:rPr>
                <w:rFonts w:hint="eastAsia" w:ascii="宋体" w:hAnsi="宋体" w:eastAsia="宋体"/>
                <w:color w:val="000000"/>
                <w:kern w:val="0"/>
                <w:sz w:val="18"/>
                <w:szCs w:val="18"/>
              </w:rPr>
            </w:pPr>
          </w:p>
        </w:tc>
        <w:tc>
          <w:tcPr>
            <w:tcW w:w="1879" w:type="pct"/>
            <w:shd w:val="clear" w:color="auto" w:fill="auto"/>
            <w:vAlign w:val="center"/>
          </w:tcPr>
          <w:p w14:paraId="46925071">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自然生长植被，覆盖度良好</w:t>
            </w:r>
          </w:p>
        </w:tc>
        <w:tc>
          <w:tcPr>
            <w:tcW w:w="518" w:type="pct"/>
            <w:shd w:val="clear" w:color="auto" w:fill="auto"/>
            <w:vAlign w:val="center"/>
          </w:tcPr>
          <w:p w14:paraId="7624DBA9">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4</w:t>
            </w:r>
          </w:p>
        </w:tc>
        <w:tc>
          <w:tcPr>
            <w:tcW w:w="385" w:type="pct"/>
            <w:vMerge w:val="continue"/>
            <w:shd w:val="clear" w:color="auto" w:fill="auto"/>
            <w:vAlign w:val="center"/>
          </w:tcPr>
          <w:p w14:paraId="7F0BCFB6">
            <w:pPr>
              <w:widowControl/>
              <w:jc w:val="left"/>
              <w:rPr>
                <w:rFonts w:hint="eastAsia" w:ascii="宋体" w:hAnsi="宋体" w:eastAsia="宋体"/>
                <w:color w:val="000000"/>
                <w:kern w:val="0"/>
                <w:sz w:val="18"/>
                <w:szCs w:val="18"/>
              </w:rPr>
            </w:pPr>
          </w:p>
        </w:tc>
      </w:tr>
      <w:tr w14:paraId="677AD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5C4E0F80">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39B58741">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0412ACB9">
            <w:pPr>
              <w:widowControl/>
              <w:jc w:val="left"/>
              <w:rPr>
                <w:rFonts w:hint="eastAsia" w:ascii="宋体" w:hAnsi="宋体" w:eastAsia="宋体"/>
                <w:color w:val="000000"/>
                <w:kern w:val="0"/>
                <w:sz w:val="18"/>
                <w:szCs w:val="18"/>
              </w:rPr>
            </w:pPr>
          </w:p>
        </w:tc>
        <w:tc>
          <w:tcPr>
            <w:tcW w:w="1879" w:type="pct"/>
            <w:shd w:val="clear" w:color="auto" w:fill="auto"/>
            <w:vAlign w:val="center"/>
          </w:tcPr>
          <w:p w14:paraId="5B78DC1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人工覆土、覆绿良好</w:t>
            </w:r>
          </w:p>
        </w:tc>
        <w:tc>
          <w:tcPr>
            <w:tcW w:w="518" w:type="pct"/>
            <w:shd w:val="clear" w:color="auto" w:fill="auto"/>
            <w:noWrap/>
            <w:vAlign w:val="center"/>
          </w:tcPr>
          <w:p w14:paraId="46A068F9">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2</w:t>
            </w:r>
          </w:p>
        </w:tc>
        <w:tc>
          <w:tcPr>
            <w:tcW w:w="385" w:type="pct"/>
            <w:vMerge w:val="continue"/>
            <w:shd w:val="clear" w:color="auto" w:fill="auto"/>
            <w:vAlign w:val="center"/>
          </w:tcPr>
          <w:p w14:paraId="12E7F3A6">
            <w:pPr>
              <w:widowControl/>
              <w:jc w:val="left"/>
              <w:rPr>
                <w:rFonts w:hint="eastAsia" w:ascii="宋体" w:hAnsi="宋体" w:eastAsia="宋体"/>
                <w:color w:val="000000"/>
                <w:kern w:val="0"/>
                <w:sz w:val="18"/>
                <w:szCs w:val="18"/>
              </w:rPr>
            </w:pPr>
          </w:p>
        </w:tc>
      </w:tr>
      <w:tr w14:paraId="3A901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6F7B5893">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6A01FABB">
            <w:pPr>
              <w:widowControl/>
              <w:jc w:val="left"/>
              <w:rPr>
                <w:rFonts w:hint="eastAsia" w:ascii="宋体" w:hAnsi="宋体" w:eastAsia="宋体"/>
                <w:color w:val="000000"/>
                <w:kern w:val="0"/>
                <w:sz w:val="18"/>
                <w:szCs w:val="18"/>
              </w:rPr>
            </w:pPr>
          </w:p>
        </w:tc>
        <w:tc>
          <w:tcPr>
            <w:tcW w:w="1228" w:type="pct"/>
            <w:gridSpan w:val="2"/>
            <w:vMerge w:val="restart"/>
            <w:shd w:val="clear" w:color="auto" w:fill="auto"/>
            <w:vAlign w:val="center"/>
          </w:tcPr>
          <w:p w14:paraId="68FCD789">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过水类型</w:t>
            </w:r>
          </w:p>
        </w:tc>
        <w:tc>
          <w:tcPr>
            <w:tcW w:w="1879" w:type="pct"/>
            <w:shd w:val="clear" w:color="auto" w:fill="auto"/>
            <w:vAlign w:val="center"/>
          </w:tcPr>
          <w:p w14:paraId="46E5896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河道流经废渣</w:t>
            </w:r>
          </w:p>
        </w:tc>
        <w:tc>
          <w:tcPr>
            <w:tcW w:w="518" w:type="pct"/>
            <w:shd w:val="clear" w:color="auto" w:fill="auto"/>
            <w:vAlign w:val="center"/>
          </w:tcPr>
          <w:p w14:paraId="6ED5C83A">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5" w:type="pct"/>
            <w:vMerge w:val="continue"/>
            <w:shd w:val="clear" w:color="auto" w:fill="auto"/>
            <w:vAlign w:val="center"/>
          </w:tcPr>
          <w:p w14:paraId="1A6F4AAA">
            <w:pPr>
              <w:widowControl/>
              <w:jc w:val="left"/>
              <w:rPr>
                <w:rFonts w:hint="eastAsia" w:ascii="宋体" w:hAnsi="宋体" w:eastAsia="宋体"/>
                <w:color w:val="000000"/>
                <w:kern w:val="0"/>
                <w:sz w:val="18"/>
                <w:szCs w:val="18"/>
              </w:rPr>
            </w:pPr>
          </w:p>
        </w:tc>
      </w:tr>
      <w:tr w14:paraId="75F7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45C1AA28">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31A9926E">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51634DE4">
            <w:pPr>
              <w:widowControl/>
              <w:jc w:val="left"/>
              <w:rPr>
                <w:rFonts w:hint="eastAsia" w:ascii="宋体" w:hAnsi="宋体" w:eastAsia="宋体"/>
                <w:color w:val="000000"/>
                <w:kern w:val="0"/>
                <w:sz w:val="18"/>
                <w:szCs w:val="18"/>
              </w:rPr>
            </w:pPr>
          </w:p>
        </w:tc>
        <w:tc>
          <w:tcPr>
            <w:tcW w:w="1879" w:type="pct"/>
            <w:shd w:val="clear" w:color="auto" w:fill="auto"/>
            <w:vAlign w:val="center"/>
          </w:tcPr>
          <w:p w14:paraId="69B00C0D">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废渣前缘涉水或，与河道相距10m以内</w:t>
            </w:r>
          </w:p>
        </w:tc>
        <w:tc>
          <w:tcPr>
            <w:tcW w:w="518" w:type="pct"/>
            <w:shd w:val="clear" w:color="auto" w:fill="auto"/>
            <w:vAlign w:val="center"/>
          </w:tcPr>
          <w:p w14:paraId="21CB41F7">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8</w:t>
            </w:r>
          </w:p>
        </w:tc>
        <w:tc>
          <w:tcPr>
            <w:tcW w:w="385" w:type="pct"/>
            <w:vMerge w:val="continue"/>
            <w:shd w:val="clear" w:color="auto" w:fill="auto"/>
            <w:vAlign w:val="center"/>
          </w:tcPr>
          <w:p w14:paraId="0DAE6225">
            <w:pPr>
              <w:widowControl/>
              <w:jc w:val="left"/>
              <w:rPr>
                <w:rFonts w:hint="eastAsia" w:ascii="宋体" w:hAnsi="宋体" w:eastAsia="宋体"/>
                <w:color w:val="000000"/>
                <w:kern w:val="0"/>
                <w:sz w:val="18"/>
                <w:szCs w:val="18"/>
              </w:rPr>
            </w:pPr>
          </w:p>
        </w:tc>
      </w:tr>
      <w:tr w14:paraId="4D0C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4393BB27">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157F8E6D">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5987BB78">
            <w:pPr>
              <w:widowControl/>
              <w:jc w:val="left"/>
              <w:rPr>
                <w:rFonts w:hint="eastAsia" w:ascii="宋体" w:hAnsi="宋体" w:eastAsia="宋体"/>
                <w:color w:val="000000"/>
                <w:kern w:val="0"/>
                <w:sz w:val="18"/>
                <w:szCs w:val="18"/>
              </w:rPr>
            </w:pPr>
          </w:p>
        </w:tc>
        <w:tc>
          <w:tcPr>
            <w:tcW w:w="1879" w:type="pct"/>
            <w:shd w:val="clear" w:color="auto" w:fill="auto"/>
            <w:vAlign w:val="center"/>
          </w:tcPr>
          <w:p w14:paraId="472FDC8F">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废渣与河道相距10-30m</w:t>
            </w:r>
          </w:p>
        </w:tc>
        <w:tc>
          <w:tcPr>
            <w:tcW w:w="518" w:type="pct"/>
            <w:shd w:val="clear" w:color="auto" w:fill="auto"/>
            <w:vAlign w:val="center"/>
          </w:tcPr>
          <w:p w14:paraId="122D3E5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6</w:t>
            </w:r>
          </w:p>
        </w:tc>
        <w:tc>
          <w:tcPr>
            <w:tcW w:w="385" w:type="pct"/>
            <w:vMerge w:val="continue"/>
            <w:shd w:val="clear" w:color="auto" w:fill="auto"/>
            <w:vAlign w:val="center"/>
          </w:tcPr>
          <w:p w14:paraId="6CBDEBD1">
            <w:pPr>
              <w:widowControl/>
              <w:jc w:val="left"/>
              <w:rPr>
                <w:rFonts w:hint="eastAsia" w:ascii="宋体" w:hAnsi="宋体" w:eastAsia="宋体"/>
                <w:color w:val="000000"/>
                <w:kern w:val="0"/>
                <w:sz w:val="18"/>
                <w:szCs w:val="18"/>
              </w:rPr>
            </w:pPr>
          </w:p>
        </w:tc>
      </w:tr>
      <w:tr w14:paraId="3399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7A0B3B48">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1BEE3B62">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1D68ECC1">
            <w:pPr>
              <w:widowControl/>
              <w:jc w:val="left"/>
              <w:rPr>
                <w:rFonts w:hint="eastAsia" w:ascii="宋体" w:hAnsi="宋体" w:eastAsia="宋体"/>
                <w:color w:val="000000"/>
                <w:kern w:val="0"/>
                <w:sz w:val="18"/>
                <w:szCs w:val="18"/>
              </w:rPr>
            </w:pPr>
          </w:p>
        </w:tc>
        <w:tc>
          <w:tcPr>
            <w:tcW w:w="1879" w:type="pct"/>
            <w:shd w:val="clear" w:color="auto" w:fill="auto"/>
            <w:vAlign w:val="center"/>
          </w:tcPr>
          <w:p w14:paraId="5D4F6CE5">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废渣与河道相距30m以上</w:t>
            </w:r>
          </w:p>
        </w:tc>
        <w:tc>
          <w:tcPr>
            <w:tcW w:w="518" w:type="pct"/>
            <w:shd w:val="clear" w:color="auto" w:fill="auto"/>
            <w:noWrap/>
            <w:vAlign w:val="center"/>
          </w:tcPr>
          <w:p w14:paraId="4B1183A7">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0</w:t>
            </w:r>
          </w:p>
        </w:tc>
        <w:tc>
          <w:tcPr>
            <w:tcW w:w="385" w:type="pct"/>
            <w:vMerge w:val="continue"/>
            <w:shd w:val="clear" w:color="auto" w:fill="auto"/>
            <w:vAlign w:val="center"/>
          </w:tcPr>
          <w:p w14:paraId="79F47E2C">
            <w:pPr>
              <w:widowControl/>
              <w:jc w:val="left"/>
              <w:rPr>
                <w:rFonts w:hint="eastAsia" w:ascii="宋体" w:hAnsi="宋体" w:eastAsia="宋体"/>
                <w:color w:val="000000"/>
                <w:kern w:val="0"/>
                <w:sz w:val="18"/>
                <w:szCs w:val="18"/>
              </w:rPr>
            </w:pPr>
          </w:p>
        </w:tc>
      </w:tr>
      <w:tr w14:paraId="267E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1D7A2C4A">
            <w:pPr>
              <w:widowControl/>
              <w:jc w:val="left"/>
              <w:rPr>
                <w:rFonts w:hint="eastAsia" w:ascii="宋体" w:hAnsi="宋体" w:eastAsia="宋体"/>
                <w:color w:val="000000"/>
                <w:kern w:val="0"/>
                <w:sz w:val="18"/>
                <w:szCs w:val="18"/>
              </w:rPr>
            </w:pPr>
          </w:p>
        </w:tc>
        <w:tc>
          <w:tcPr>
            <w:tcW w:w="479" w:type="pct"/>
            <w:vMerge w:val="restart"/>
            <w:shd w:val="clear" w:color="auto" w:fill="auto"/>
            <w:vAlign w:val="center"/>
          </w:tcPr>
          <w:p w14:paraId="7301E30E">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规模</w:t>
            </w:r>
          </w:p>
        </w:tc>
        <w:tc>
          <w:tcPr>
            <w:tcW w:w="1228" w:type="pct"/>
            <w:gridSpan w:val="2"/>
            <w:vMerge w:val="restart"/>
            <w:shd w:val="clear" w:color="auto" w:fill="auto"/>
            <w:vAlign w:val="center"/>
          </w:tcPr>
          <w:p w14:paraId="2A707790">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废渣存量（万</w:t>
            </w:r>
            <w:r>
              <w:rPr>
                <w:rFonts w:ascii="宋体" w:hAnsi="宋体" w:eastAsia="宋体"/>
                <w:color w:val="000000"/>
                <w:kern w:val="0"/>
                <w:sz w:val="18"/>
                <w:szCs w:val="18"/>
              </w:rPr>
              <w:t>m</w:t>
            </w:r>
            <w:r>
              <w:rPr>
                <w:rFonts w:ascii="宋体" w:hAnsi="宋体" w:eastAsia="宋体"/>
                <w:color w:val="000000"/>
                <w:kern w:val="0"/>
                <w:sz w:val="18"/>
                <w:szCs w:val="18"/>
                <w:vertAlign w:val="superscript"/>
              </w:rPr>
              <w:t>3</w:t>
            </w:r>
            <w:r>
              <w:rPr>
                <w:rFonts w:hint="eastAsia" w:ascii="宋体" w:hAnsi="宋体" w:eastAsia="宋体"/>
                <w:color w:val="000000"/>
                <w:kern w:val="0"/>
                <w:sz w:val="18"/>
                <w:szCs w:val="18"/>
              </w:rPr>
              <w:t>）</w:t>
            </w:r>
          </w:p>
        </w:tc>
        <w:tc>
          <w:tcPr>
            <w:tcW w:w="1879" w:type="pct"/>
            <w:shd w:val="clear" w:color="auto" w:fill="auto"/>
            <w:vAlign w:val="center"/>
          </w:tcPr>
          <w:p w14:paraId="37A7A34F">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30</w:t>
            </w:r>
          </w:p>
        </w:tc>
        <w:tc>
          <w:tcPr>
            <w:tcW w:w="518" w:type="pct"/>
            <w:shd w:val="clear" w:color="auto" w:fill="auto"/>
            <w:vAlign w:val="center"/>
          </w:tcPr>
          <w:p w14:paraId="3530D8EE">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16</w:t>
            </w:r>
          </w:p>
        </w:tc>
        <w:tc>
          <w:tcPr>
            <w:tcW w:w="385" w:type="pct"/>
            <w:vMerge w:val="restart"/>
            <w:shd w:val="clear" w:color="auto" w:fill="auto"/>
            <w:noWrap/>
            <w:vAlign w:val="center"/>
          </w:tcPr>
          <w:p w14:paraId="2DFEE406">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36</w:t>
            </w:r>
          </w:p>
        </w:tc>
      </w:tr>
      <w:tr w14:paraId="347A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60A279C1">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5425CF68">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4992B102">
            <w:pPr>
              <w:widowControl/>
              <w:jc w:val="left"/>
              <w:rPr>
                <w:rFonts w:hint="eastAsia" w:ascii="宋体" w:hAnsi="宋体" w:eastAsia="宋体"/>
                <w:color w:val="000000"/>
                <w:kern w:val="0"/>
                <w:sz w:val="18"/>
                <w:szCs w:val="18"/>
              </w:rPr>
            </w:pPr>
          </w:p>
        </w:tc>
        <w:tc>
          <w:tcPr>
            <w:tcW w:w="1879" w:type="pct"/>
            <w:shd w:val="clear" w:color="auto" w:fill="auto"/>
            <w:vAlign w:val="center"/>
          </w:tcPr>
          <w:p w14:paraId="1B9D669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r>
              <w:rPr>
                <w:rFonts w:hint="eastAsia" w:ascii="宋体" w:hAnsi="宋体" w:eastAsia="宋体"/>
                <w:color w:val="000000"/>
                <w:kern w:val="0"/>
                <w:sz w:val="18"/>
                <w:szCs w:val="18"/>
              </w:rPr>
              <w:t>，</w:t>
            </w:r>
            <w:r>
              <w:rPr>
                <w:rFonts w:ascii="宋体" w:hAnsi="宋体" w:eastAsia="宋体"/>
                <w:color w:val="000000"/>
                <w:kern w:val="0"/>
                <w:sz w:val="18"/>
                <w:szCs w:val="18"/>
              </w:rPr>
              <w:t>30]</w:t>
            </w:r>
          </w:p>
        </w:tc>
        <w:tc>
          <w:tcPr>
            <w:tcW w:w="518" w:type="pct"/>
            <w:shd w:val="clear" w:color="auto" w:fill="auto"/>
            <w:vAlign w:val="center"/>
          </w:tcPr>
          <w:p w14:paraId="007609BA">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14</w:t>
            </w:r>
          </w:p>
        </w:tc>
        <w:tc>
          <w:tcPr>
            <w:tcW w:w="385" w:type="pct"/>
            <w:vMerge w:val="continue"/>
            <w:shd w:val="clear" w:color="auto" w:fill="auto"/>
            <w:vAlign w:val="center"/>
          </w:tcPr>
          <w:p w14:paraId="4B5FC7A3">
            <w:pPr>
              <w:widowControl/>
              <w:jc w:val="left"/>
              <w:rPr>
                <w:rFonts w:hint="eastAsia" w:ascii="宋体" w:hAnsi="宋体" w:eastAsia="宋体"/>
                <w:color w:val="000000"/>
                <w:kern w:val="0"/>
                <w:sz w:val="18"/>
                <w:szCs w:val="18"/>
              </w:rPr>
            </w:pPr>
          </w:p>
        </w:tc>
      </w:tr>
      <w:tr w14:paraId="1AF2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5D4D7FB4">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012903A5">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1D7D8FF5">
            <w:pPr>
              <w:widowControl/>
              <w:jc w:val="left"/>
              <w:rPr>
                <w:rFonts w:hint="eastAsia" w:ascii="宋体" w:hAnsi="宋体" w:eastAsia="宋体"/>
                <w:color w:val="000000"/>
                <w:kern w:val="0"/>
                <w:sz w:val="18"/>
                <w:szCs w:val="18"/>
              </w:rPr>
            </w:pPr>
          </w:p>
        </w:tc>
        <w:tc>
          <w:tcPr>
            <w:tcW w:w="1879" w:type="pct"/>
            <w:shd w:val="clear" w:color="auto" w:fill="auto"/>
            <w:vAlign w:val="center"/>
          </w:tcPr>
          <w:p w14:paraId="75087AA0">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r>
              <w:rPr>
                <w:rFonts w:hint="eastAsia" w:ascii="宋体" w:hAnsi="宋体" w:eastAsia="宋体"/>
                <w:color w:val="000000"/>
                <w:kern w:val="0"/>
                <w:sz w:val="18"/>
                <w:szCs w:val="18"/>
              </w:rPr>
              <w:t>，</w:t>
            </w:r>
            <w:r>
              <w:rPr>
                <w:rFonts w:ascii="宋体" w:hAnsi="宋体" w:eastAsia="宋体"/>
                <w:color w:val="000000"/>
                <w:kern w:val="0"/>
                <w:sz w:val="18"/>
                <w:szCs w:val="18"/>
              </w:rPr>
              <w:t>10]</w:t>
            </w:r>
          </w:p>
        </w:tc>
        <w:tc>
          <w:tcPr>
            <w:tcW w:w="518" w:type="pct"/>
            <w:shd w:val="clear" w:color="auto" w:fill="auto"/>
            <w:vAlign w:val="center"/>
          </w:tcPr>
          <w:p w14:paraId="6155428C">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5" w:type="pct"/>
            <w:vMerge w:val="continue"/>
            <w:shd w:val="clear" w:color="auto" w:fill="auto"/>
            <w:vAlign w:val="center"/>
          </w:tcPr>
          <w:p w14:paraId="1EE6E52E">
            <w:pPr>
              <w:widowControl/>
              <w:jc w:val="left"/>
              <w:rPr>
                <w:rFonts w:hint="eastAsia" w:ascii="宋体" w:hAnsi="宋体" w:eastAsia="宋体"/>
                <w:color w:val="000000"/>
                <w:kern w:val="0"/>
                <w:sz w:val="18"/>
                <w:szCs w:val="18"/>
              </w:rPr>
            </w:pPr>
          </w:p>
        </w:tc>
      </w:tr>
      <w:tr w14:paraId="0E3E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70B8159D">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612219ED">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74497688">
            <w:pPr>
              <w:widowControl/>
              <w:jc w:val="left"/>
              <w:rPr>
                <w:rFonts w:hint="eastAsia" w:ascii="宋体" w:hAnsi="宋体" w:eastAsia="宋体"/>
                <w:color w:val="000000"/>
                <w:kern w:val="0"/>
                <w:sz w:val="18"/>
                <w:szCs w:val="18"/>
              </w:rPr>
            </w:pPr>
          </w:p>
        </w:tc>
        <w:tc>
          <w:tcPr>
            <w:tcW w:w="1879" w:type="pct"/>
            <w:shd w:val="clear" w:color="auto" w:fill="auto"/>
            <w:vAlign w:val="center"/>
          </w:tcPr>
          <w:p w14:paraId="41552CA7">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(2</w:t>
            </w:r>
            <w:r>
              <w:rPr>
                <w:rFonts w:hint="eastAsia" w:ascii="宋体" w:hAnsi="宋体" w:eastAsia="宋体"/>
                <w:color w:val="000000"/>
                <w:kern w:val="0"/>
                <w:sz w:val="18"/>
                <w:szCs w:val="18"/>
              </w:rPr>
              <w:t>，</w:t>
            </w:r>
            <w:r>
              <w:rPr>
                <w:rFonts w:ascii="宋体" w:hAnsi="宋体" w:eastAsia="宋体"/>
                <w:color w:val="000000"/>
                <w:kern w:val="0"/>
                <w:sz w:val="18"/>
                <w:szCs w:val="18"/>
              </w:rPr>
              <w:t>5]</w:t>
            </w:r>
          </w:p>
        </w:tc>
        <w:tc>
          <w:tcPr>
            <w:tcW w:w="518" w:type="pct"/>
            <w:shd w:val="clear" w:color="auto" w:fill="auto"/>
            <w:vAlign w:val="center"/>
          </w:tcPr>
          <w:p w14:paraId="7B9ED636">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8</w:t>
            </w:r>
          </w:p>
        </w:tc>
        <w:tc>
          <w:tcPr>
            <w:tcW w:w="385" w:type="pct"/>
            <w:vMerge w:val="continue"/>
            <w:shd w:val="clear" w:color="auto" w:fill="auto"/>
            <w:vAlign w:val="center"/>
          </w:tcPr>
          <w:p w14:paraId="178CC3C4">
            <w:pPr>
              <w:widowControl/>
              <w:jc w:val="left"/>
              <w:rPr>
                <w:rFonts w:hint="eastAsia" w:ascii="宋体" w:hAnsi="宋体" w:eastAsia="宋体"/>
                <w:color w:val="000000"/>
                <w:kern w:val="0"/>
                <w:sz w:val="18"/>
                <w:szCs w:val="18"/>
              </w:rPr>
            </w:pPr>
          </w:p>
        </w:tc>
      </w:tr>
      <w:tr w14:paraId="7CB37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1EAE88DA">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28C4CB9E">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20C43D9F">
            <w:pPr>
              <w:widowControl/>
              <w:jc w:val="left"/>
              <w:rPr>
                <w:rFonts w:hint="eastAsia" w:ascii="宋体" w:hAnsi="宋体" w:eastAsia="宋体"/>
                <w:color w:val="000000"/>
                <w:kern w:val="0"/>
                <w:sz w:val="18"/>
                <w:szCs w:val="18"/>
              </w:rPr>
            </w:pPr>
          </w:p>
        </w:tc>
        <w:tc>
          <w:tcPr>
            <w:tcW w:w="1879" w:type="pct"/>
            <w:shd w:val="clear" w:color="auto" w:fill="auto"/>
            <w:vAlign w:val="center"/>
          </w:tcPr>
          <w:p w14:paraId="237CD2B5">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(0.5</w:t>
            </w:r>
            <w:r>
              <w:rPr>
                <w:rFonts w:hint="eastAsia" w:ascii="宋体" w:hAnsi="宋体" w:eastAsia="宋体"/>
                <w:color w:val="000000"/>
                <w:kern w:val="0"/>
                <w:sz w:val="18"/>
                <w:szCs w:val="18"/>
              </w:rPr>
              <w:t>，2</w:t>
            </w:r>
            <w:r>
              <w:rPr>
                <w:rFonts w:ascii="宋体" w:hAnsi="宋体" w:eastAsia="宋体"/>
                <w:color w:val="000000"/>
                <w:kern w:val="0"/>
                <w:sz w:val="18"/>
                <w:szCs w:val="18"/>
              </w:rPr>
              <w:t>]</w:t>
            </w:r>
          </w:p>
        </w:tc>
        <w:tc>
          <w:tcPr>
            <w:tcW w:w="518" w:type="pct"/>
            <w:shd w:val="clear" w:color="auto" w:fill="auto"/>
            <w:vAlign w:val="center"/>
          </w:tcPr>
          <w:p w14:paraId="06AC2A59">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6</w:t>
            </w:r>
          </w:p>
        </w:tc>
        <w:tc>
          <w:tcPr>
            <w:tcW w:w="385" w:type="pct"/>
            <w:vMerge w:val="continue"/>
            <w:shd w:val="clear" w:color="auto" w:fill="auto"/>
            <w:vAlign w:val="center"/>
          </w:tcPr>
          <w:p w14:paraId="15E13B7A">
            <w:pPr>
              <w:widowControl/>
              <w:jc w:val="left"/>
              <w:rPr>
                <w:rFonts w:hint="eastAsia" w:ascii="宋体" w:hAnsi="宋体" w:eastAsia="宋体"/>
                <w:color w:val="000000"/>
                <w:kern w:val="0"/>
                <w:sz w:val="18"/>
                <w:szCs w:val="18"/>
              </w:rPr>
            </w:pPr>
          </w:p>
        </w:tc>
      </w:tr>
      <w:tr w14:paraId="3DF3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0B2BB93D">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276E2284">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472EF520">
            <w:pPr>
              <w:widowControl/>
              <w:jc w:val="left"/>
              <w:rPr>
                <w:rFonts w:hint="eastAsia" w:ascii="宋体" w:hAnsi="宋体" w:eastAsia="宋体"/>
                <w:color w:val="000000"/>
                <w:kern w:val="0"/>
                <w:sz w:val="18"/>
                <w:szCs w:val="18"/>
              </w:rPr>
            </w:pPr>
          </w:p>
        </w:tc>
        <w:tc>
          <w:tcPr>
            <w:tcW w:w="1879" w:type="pct"/>
            <w:shd w:val="clear" w:color="auto" w:fill="auto"/>
            <w:vAlign w:val="center"/>
          </w:tcPr>
          <w:p w14:paraId="6F7E97ED">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0.5</w:t>
            </w:r>
          </w:p>
        </w:tc>
        <w:tc>
          <w:tcPr>
            <w:tcW w:w="518" w:type="pct"/>
            <w:shd w:val="clear" w:color="auto" w:fill="auto"/>
            <w:noWrap/>
            <w:vAlign w:val="center"/>
          </w:tcPr>
          <w:p w14:paraId="66974DFD">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2</w:t>
            </w:r>
          </w:p>
        </w:tc>
        <w:tc>
          <w:tcPr>
            <w:tcW w:w="385" w:type="pct"/>
            <w:vMerge w:val="continue"/>
            <w:shd w:val="clear" w:color="auto" w:fill="auto"/>
            <w:vAlign w:val="center"/>
          </w:tcPr>
          <w:p w14:paraId="5597DC85">
            <w:pPr>
              <w:widowControl/>
              <w:jc w:val="left"/>
              <w:rPr>
                <w:rFonts w:hint="eastAsia" w:ascii="宋体" w:hAnsi="宋体" w:eastAsia="宋体"/>
                <w:color w:val="000000"/>
                <w:kern w:val="0"/>
                <w:sz w:val="18"/>
                <w:szCs w:val="18"/>
              </w:rPr>
            </w:pPr>
          </w:p>
        </w:tc>
      </w:tr>
      <w:tr w14:paraId="0414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4830E144">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163EC153">
            <w:pPr>
              <w:widowControl/>
              <w:jc w:val="left"/>
              <w:rPr>
                <w:rFonts w:hint="eastAsia" w:ascii="宋体" w:hAnsi="宋体" w:eastAsia="宋体"/>
                <w:color w:val="000000"/>
                <w:kern w:val="0"/>
                <w:sz w:val="18"/>
                <w:szCs w:val="18"/>
              </w:rPr>
            </w:pPr>
          </w:p>
        </w:tc>
        <w:tc>
          <w:tcPr>
            <w:tcW w:w="1228" w:type="pct"/>
            <w:gridSpan w:val="2"/>
            <w:vMerge w:val="restart"/>
            <w:shd w:val="clear" w:color="auto" w:fill="auto"/>
            <w:vAlign w:val="center"/>
          </w:tcPr>
          <w:p w14:paraId="008B5BE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垂直投影占地面积（万</w:t>
            </w:r>
            <w:r>
              <w:rPr>
                <w:rFonts w:ascii="宋体" w:hAnsi="宋体" w:eastAsia="宋体"/>
                <w:color w:val="000000"/>
                <w:kern w:val="0"/>
                <w:sz w:val="18"/>
                <w:szCs w:val="18"/>
              </w:rPr>
              <w:t>m</w:t>
            </w:r>
            <w:r>
              <w:rPr>
                <w:rFonts w:ascii="宋体" w:hAnsi="宋体" w:eastAsia="宋体"/>
                <w:color w:val="000000"/>
                <w:kern w:val="0"/>
                <w:sz w:val="18"/>
                <w:szCs w:val="18"/>
                <w:vertAlign w:val="superscript"/>
              </w:rPr>
              <w:t>2</w:t>
            </w:r>
            <w:r>
              <w:rPr>
                <w:rFonts w:hint="eastAsia" w:ascii="宋体" w:hAnsi="宋体" w:eastAsia="宋体"/>
                <w:color w:val="000000"/>
                <w:kern w:val="0"/>
                <w:sz w:val="18"/>
                <w:szCs w:val="18"/>
              </w:rPr>
              <w:t>）</w:t>
            </w:r>
          </w:p>
        </w:tc>
        <w:tc>
          <w:tcPr>
            <w:tcW w:w="1879" w:type="pct"/>
            <w:shd w:val="clear" w:color="auto" w:fill="auto"/>
            <w:vAlign w:val="center"/>
          </w:tcPr>
          <w:p w14:paraId="7D518315">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1.0</w:t>
            </w:r>
          </w:p>
        </w:tc>
        <w:tc>
          <w:tcPr>
            <w:tcW w:w="518" w:type="pct"/>
            <w:shd w:val="clear" w:color="auto" w:fill="auto"/>
            <w:vAlign w:val="center"/>
          </w:tcPr>
          <w:p w14:paraId="3B1EB87D">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p>
        </w:tc>
        <w:tc>
          <w:tcPr>
            <w:tcW w:w="385" w:type="pct"/>
            <w:vMerge w:val="continue"/>
            <w:shd w:val="clear" w:color="auto" w:fill="auto"/>
            <w:vAlign w:val="center"/>
          </w:tcPr>
          <w:p w14:paraId="24985C2B">
            <w:pPr>
              <w:widowControl/>
              <w:jc w:val="left"/>
              <w:rPr>
                <w:rFonts w:hint="eastAsia" w:ascii="宋体" w:hAnsi="宋体" w:eastAsia="宋体"/>
                <w:color w:val="000000"/>
                <w:kern w:val="0"/>
                <w:sz w:val="18"/>
                <w:szCs w:val="18"/>
              </w:rPr>
            </w:pPr>
          </w:p>
        </w:tc>
      </w:tr>
      <w:tr w14:paraId="1698C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2634450E">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3E49EF9F">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357A6FD1">
            <w:pPr>
              <w:widowControl/>
              <w:jc w:val="left"/>
              <w:rPr>
                <w:rFonts w:hint="eastAsia" w:ascii="宋体" w:hAnsi="宋体" w:eastAsia="宋体"/>
                <w:color w:val="000000"/>
                <w:kern w:val="0"/>
                <w:sz w:val="18"/>
                <w:szCs w:val="18"/>
              </w:rPr>
            </w:pPr>
          </w:p>
        </w:tc>
        <w:tc>
          <w:tcPr>
            <w:tcW w:w="1879" w:type="pct"/>
            <w:shd w:val="clear" w:color="auto" w:fill="auto"/>
            <w:vAlign w:val="center"/>
          </w:tcPr>
          <w:p w14:paraId="35208296">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(0.5</w:t>
            </w:r>
            <w:r>
              <w:rPr>
                <w:rFonts w:hint="eastAsia" w:ascii="宋体" w:hAnsi="宋体" w:eastAsia="宋体"/>
                <w:color w:val="000000"/>
                <w:kern w:val="0"/>
                <w:sz w:val="18"/>
                <w:szCs w:val="18"/>
              </w:rPr>
              <w:t>，1</w:t>
            </w:r>
            <w:r>
              <w:rPr>
                <w:rFonts w:ascii="宋体" w:hAnsi="宋体" w:eastAsia="宋体"/>
                <w:color w:val="000000"/>
                <w:kern w:val="0"/>
                <w:sz w:val="18"/>
                <w:szCs w:val="18"/>
              </w:rPr>
              <w:t>]</w:t>
            </w:r>
          </w:p>
        </w:tc>
        <w:tc>
          <w:tcPr>
            <w:tcW w:w="518" w:type="pct"/>
            <w:shd w:val="clear" w:color="auto" w:fill="auto"/>
            <w:vAlign w:val="center"/>
          </w:tcPr>
          <w:p w14:paraId="3B3E9048">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7</w:t>
            </w:r>
          </w:p>
        </w:tc>
        <w:tc>
          <w:tcPr>
            <w:tcW w:w="385" w:type="pct"/>
            <w:vMerge w:val="continue"/>
            <w:shd w:val="clear" w:color="auto" w:fill="auto"/>
            <w:vAlign w:val="center"/>
          </w:tcPr>
          <w:p w14:paraId="6A31E130">
            <w:pPr>
              <w:widowControl/>
              <w:jc w:val="left"/>
              <w:rPr>
                <w:rFonts w:hint="eastAsia" w:ascii="宋体" w:hAnsi="宋体" w:eastAsia="宋体"/>
                <w:color w:val="000000"/>
                <w:kern w:val="0"/>
                <w:sz w:val="18"/>
                <w:szCs w:val="18"/>
              </w:rPr>
            </w:pPr>
          </w:p>
        </w:tc>
      </w:tr>
      <w:tr w14:paraId="3589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7F679087">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432094B0">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53F4F156">
            <w:pPr>
              <w:widowControl/>
              <w:jc w:val="left"/>
              <w:rPr>
                <w:rFonts w:hint="eastAsia" w:ascii="宋体" w:hAnsi="宋体" w:eastAsia="宋体"/>
                <w:color w:val="000000"/>
                <w:kern w:val="0"/>
                <w:sz w:val="18"/>
                <w:szCs w:val="18"/>
              </w:rPr>
            </w:pPr>
          </w:p>
        </w:tc>
        <w:tc>
          <w:tcPr>
            <w:tcW w:w="1879" w:type="pct"/>
            <w:shd w:val="clear" w:color="auto" w:fill="auto"/>
            <w:vAlign w:val="center"/>
          </w:tcPr>
          <w:p w14:paraId="76DB626E">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(0.1</w:t>
            </w:r>
            <w:r>
              <w:rPr>
                <w:rFonts w:hint="eastAsia" w:ascii="宋体" w:hAnsi="宋体" w:eastAsia="宋体"/>
                <w:color w:val="000000"/>
                <w:kern w:val="0"/>
                <w:sz w:val="18"/>
                <w:szCs w:val="18"/>
              </w:rPr>
              <w:t>，0.5</w:t>
            </w:r>
            <w:r>
              <w:rPr>
                <w:rFonts w:ascii="宋体" w:hAnsi="宋体" w:eastAsia="宋体"/>
                <w:color w:val="000000"/>
                <w:kern w:val="0"/>
                <w:sz w:val="18"/>
                <w:szCs w:val="18"/>
              </w:rPr>
              <w:t>]</w:t>
            </w:r>
          </w:p>
        </w:tc>
        <w:tc>
          <w:tcPr>
            <w:tcW w:w="518" w:type="pct"/>
            <w:shd w:val="clear" w:color="auto" w:fill="auto"/>
            <w:vAlign w:val="center"/>
          </w:tcPr>
          <w:p w14:paraId="595C0F45">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p>
        </w:tc>
        <w:tc>
          <w:tcPr>
            <w:tcW w:w="385" w:type="pct"/>
            <w:vMerge w:val="continue"/>
            <w:shd w:val="clear" w:color="auto" w:fill="auto"/>
            <w:vAlign w:val="center"/>
          </w:tcPr>
          <w:p w14:paraId="3BC2A6E7">
            <w:pPr>
              <w:widowControl/>
              <w:jc w:val="left"/>
              <w:rPr>
                <w:rFonts w:hint="eastAsia" w:ascii="宋体" w:hAnsi="宋体" w:eastAsia="宋体"/>
                <w:color w:val="000000"/>
                <w:kern w:val="0"/>
                <w:sz w:val="18"/>
                <w:szCs w:val="18"/>
              </w:rPr>
            </w:pPr>
          </w:p>
        </w:tc>
      </w:tr>
      <w:tr w14:paraId="08F2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01C211A9">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0D2C373F">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74501DDD">
            <w:pPr>
              <w:widowControl/>
              <w:jc w:val="left"/>
              <w:rPr>
                <w:rFonts w:hint="eastAsia" w:ascii="宋体" w:hAnsi="宋体" w:eastAsia="宋体"/>
                <w:color w:val="000000"/>
                <w:kern w:val="0"/>
                <w:sz w:val="18"/>
                <w:szCs w:val="18"/>
              </w:rPr>
            </w:pPr>
          </w:p>
        </w:tc>
        <w:tc>
          <w:tcPr>
            <w:tcW w:w="1879" w:type="pct"/>
            <w:shd w:val="clear" w:color="auto" w:fill="auto"/>
            <w:vAlign w:val="center"/>
          </w:tcPr>
          <w:p w14:paraId="40969E0A">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0.1</w:t>
            </w:r>
          </w:p>
        </w:tc>
        <w:tc>
          <w:tcPr>
            <w:tcW w:w="518" w:type="pct"/>
            <w:shd w:val="clear" w:color="auto" w:fill="auto"/>
            <w:vAlign w:val="center"/>
          </w:tcPr>
          <w:p w14:paraId="6D39AC70">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3</w:t>
            </w:r>
          </w:p>
        </w:tc>
        <w:tc>
          <w:tcPr>
            <w:tcW w:w="385" w:type="pct"/>
            <w:vMerge w:val="continue"/>
            <w:shd w:val="clear" w:color="auto" w:fill="auto"/>
            <w:vAlign w:val="center"/>
          </w:tcPr>
          <w:p w14:paraId="5899377A">
            <w:pPr>
              <w:widowControl/>
              <w:jc w:val="left"/>
              <w:rPr>
                <w:rFonts w:hint="eastAsia" w:ascii="宋体" w:hAnsi="宋体" w:eastAsia="宋体"/>
                <w:color w:val="000000"/>
                <w:kern w:val="0"/>
                <w:sz w:val="18"/>
                <w:szCs w:val="18"/>
              </w:rPr>
            </w:pPr>
          </w:p>
        </w:tc>
      </w:tr>
      <w:tr w14:paraId="6D25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4CE7ED76">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788D9FC1">
            <w:pPr>
              <w:widowControl/>
              <w:jc w:val="left"/>
              <w:rPr>
                <w:rFonts w:hint="eastAsia" w:ascii="宋体" w:hAnsi="宋体" w:eastAsia="宋体"/>
                <w:color w:val="000000"/>
                <w:kern w:val="0"/>
                <w:sz w:val="18"/>
                <w:szCs w:val="18"/>
              </w:rPr>
            </w:pPr>
          </w:p>
        </w:tc>
        <w:tc>
          <w:tcPr>
            <w:tcW w:w="1228" w:type="pct"/>
            <w:gridSpan w:val="2"/>
            <w:vMerge w:val="restart"/>
            <w:shd w:val="clear" w:color="auto" w:fill="auto"/>
            <w:vAlign w:val="center"/>
          </w:tcPr>
          <w:p w14:paraId="6C36B1C9">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废渣渗滤液流量（m</w:t>
            </w:r>
            <w:r>
              <w:rPr>
                <w:rFonts w:hint="eastAsia" w:ascii="宋体" w:hAnsi="宋体" w:eastAsia="宋体"/>
                <w:color w:val="000000"/>
                <w:kern w:val="0"/>
                <w:sz w:val="18"/>
                <w:szCs w:val="18"/>
                <w:vertAlign w:val="superscript"/>
              </w:rPr>
              <w:t>3</w:t>
            </w:r>
            <w:r>
              <w:rPr>
                <w:rFonts w:hint="eastAsia" w:ascii="宋体" w:hAnsi="宋体" w:eastAsia="宋体"/>
                <w:color w:val="000000"/>
                <w:kern w:val="0"/>
                <w:sz w:val="18"/>
                <w:szCs w:val="18"/>
              </w:rPr>
              <w:t>/d）</w:t>
            </w:r>
          </w:p>
        </w:tc>
        <w:tc>
          <w:tcPr>
            <w:tcW w:w="1879" w:type="pct"/>
            <w:shd w:val="clear" w:color="auto" w:fill="auto"/>
            <w:vAlign w:val="center"/>
          </w:tcPr>
          <w:p w14:paraId="094F63D5">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&gt;100</w:t>
            </w:r>
          </w:p>
        </w:tc>
        <w:tc>
          <w:tcPr>
            <w:tcW w:w="518" w:type="pct"/>
            <w:shd w:val="clear" w:color="auto" w:fill="auto"/>
            <w:noWrap/>
            <w:vAlign w:val="center"/>
          </w:tcPr>
          <w:p w14:paraId="45B5A6F0">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12</w:t>
            </w:r>
          </w:p>
        </w:tc>
        <w:tc>
          <w:tcPr>
            <w:tcW w:w="385" w:type="pct"/>
            <w:vMerge w:val="continue"/>
            <w:shd w:val="clear" w:color="auto" w:fill="auto"/>
            <w:vAlign w:val="center"/>
          </w:tcPr>
          <w:p w14:paraId="64D226BE">
            <w:pPr>
              <w:widowControl/>
              <w:jc w:val="left"/>
              <w:rPr>
                <w:rFonts w:hint="eastAsia" w:ascii="宋体" w:hAnsi="宋体" w:eastAsia="宋体"/>
                <w:color w:val="000000"/>
                <w:kern w:val="0"/>
                <w:sz w:val="18"/>
                <w:szCs w:val="18"/>
              </w:rPr>
            </w:pPr>
          </w:p>
        </w:tc>
      </w:tr>
      <w:tr w14:paraId="102D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4744AF1C">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30FE939F">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31721B6C">
            <w:pPr>
              <w:widowControl/>
              <w:jc w:val="left"/>
              <w:rPr>
                <w:rFonts w:hint="eastAsia" w:ascii="宋体" w:hAnsi="宋体" w:eastAsia="宋体"/>
                <w:color w:val="000000"/>
                <w:kern w:val="0"/>
                <w:sz w:val="18"/>
                <w:szCs w:val="18"/>
              </w:rPr>
            </w:pPr>
          </w:p>
        </w:tc>
        <w:tc>
          <w:tcPr>
            <w:tcW w:w="1879" w:type="pct"/>
            <w:shd w:val="clear" w:color="auto" w:fill="auto"/>
            <w:vAlign w:val="center"/>
          </w:tcPr>
          <w:p w14:paraId="0192BDDA">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(50</w:t>
            </w:r>
            <w:r>
              <w:rPr>
                <w:rFonts w:hint="eastAsia" w:ascii="宋体" w:hAnsi="宋体" w:eastAsia="宋体"/>
                <w:color w:val="000000"/>
                <w:kern w:val="0"/>
                <w:sz w:val="18"/>
                <w:szCs w:val="18"/>
              </w:rPr>
              <w:t>，</w:t>
            </w:r>
            <w:r>
              <w:rPr>
                <w:rFonts w:ascii="宋体" w:hAnsi="宋体" w:eastAsia="宋体"/>
                <w:color w:val="000000"/>
                <w:kern w:val="0"/>
                <w:sz w:val="18"/>
                <w:szCs w:val="18"/>
              </w:rPr>
              <w:t>100]</w:t>
            </w:r>
          </w:p>
        </w:tc>
        <w:tc>
          <w:tcPr>
            <w:tcW w:w="518" w:type="pct"/>
            <w:shd w:val="clear" w:color="auto" w:fill="auto"/>
            <w:noWrap/>
            <w:vAlign w:val="center"/>
          </w:tcPr>
          <w:p w14:paraId="758A0FD6">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10</w:t>
            </w:r>
          </w:p>
        </w:tc>
        <w:tc>
          <w:tcPr>
            <w:tcW w:w="385" w:type="pct"/>
            <w:vMerge w:val="continue"/>
            <w:shd w:val="clear" w:color="auto" w:fill="auto"/>
            <w:vAlign w:val="center"/>
          </w:tcPr>
          <w:p w14:paraId="4C8E750F">
            <w:pPr>
              <w:widowControl/>
              <w:jc w:val="left"/>
              <w:rPr>
                <w:rFonts w:hint="eastAsia" w:ascii="宋体" w:hAnsi="宋体" w:eastAsia="宋体"/>
                <w:color w:val="000000"/>
                <w:kern w:val="0"/>
                <w:sz w:val="18"/>
                <w:szCs w:val="18"/>
              </w:rPr>
            </w:pPr>
          </w:p>
        </w:tc>
      </w:tr>
      <w:tr w14:paraId="1F89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43DD7404">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21B89665">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416E6B78">
            <w:pPr>
              <w:widowControl/>
              <w:jc w:val="left"/>
              <w:rPr>
                <w:rFonts w:hint="eastAsia" w:ascii="宋体" w:hAnsi="宋体" w:eastAsia="宋体"/>
                <w:color w:val="000000"/>
                <w:kern w:val="0"/>
                <w:sz w:val="18"/>
                <w:szCs w:val="18"/>
              </w:rPr>
            </w:pPr>
          </w:p>
        </w:tc>
        <w:tc>
          <w:tcPr>
            <w:tcW w:w="1879" w:type="pct"/>
            <w:shd w:val="clear" w:color="auto" w:fill="auto"/>
            <w:vAlign w:val="center"/>
          </w:tcPr>
          <w:p w14:paraId="441DBF13">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r>
              <w:rPr>
                <w:rFonts w:hint="eastAsia" w:ascii="宋体" w:hAnsi="宋体" w:eastAsia="宋体"/>
                <w:color w:val="000000"/>
                <w:kern w:val="0"/>
                <w:sz w:val="18"/>
                <w:szCs w:val="18"/>
              </w:rPr>
              <w:t>，</w:t>
            </w:r>
            <w:r>
              <w:rPr>
                <w:rFonts w:ascii="宋体" w:hAnsi="宋体" w:eastAsia="宋体"/>
                <w:color w:val="000000"/>
                <w:kern w:val="0"/>
                <w:sz w:val="18"/>
                <w:szCs w:val="18"/>
              </w:rPr>
              <w:t>50]</w:t>
            </w:r>
          </w:p>
        </w:tc>
        <w:tc>
          <w:tcPr>
            <w:tcW w:w="518" w:type="pct"/>
            <w:shd w:val="clear" w:color="auto" w:fill="auto"/>
            <w:noWrap/>
            <w:vAlign w:val="center"/>
          </w:tcPr>
          <w:p w14:paraId="443805A2">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8</w:t>
            </w:r>
          </w:p>
        </w:tc>
        <w:tc>
          <w:tcPr>
            <w:tcW w:w="385" w:type="pct"/>
            <w:vMerge w:val="continue"/>
            <w:shd w:val="clear" w:color="auto" w:fill="auto"/>
            <w:vAlign w:val="center"/>
          </w:tcPr>
          <w:p w14:paraId="343CE780">
            <w:pPr>
              <w:widowControl/>
              <w:jc w:val="left"/>
              <w:rPr>
                <w:rFonts w:hint="eastAsia" w:ascii="宋体" w:hAnsi="宋体" w:eastAsia="宋体"/>
                <w:color w:val="000000"/>
                <w:kern w:val="0"/>
                <w:sz w:val="18"/>
                <w:szCs w:val="18"/>
              </w:rPr>
            </w:pPr>
          </w:p>
        </w:tc>
      </w:tr>
      <w:tr w14:paraId="1507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0AC4BCB8">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3888A07B">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6C816D04">
            <w:pPr>
              <w:widowControl/>
              <w:jc w:val="left"/>
              <w:rPr>
                <w:rFonts w:hint="eastAsia" w:ascii="宋体" w:hAnsi="宋体" w:eastAsia="宋体"/>
                <w:color w:val="000000"/>
                <w:kern w:val="0"/>
                <w:sz w:val="18"/>
                <w:szCs w:val="18"/>
              </w:rPr>
            </w:pPr>
          </w:p>
        </w:tc>
        <w:tc>
          <w:tcPr>
            <w:tcW w:w="1879" w:type="pct"/>
            <w:shd w:val="clear" w:color="auto" w:fill="auto"/>
            <w:vAlign w:val="center"/>
          </w:tcPr>
          <w:p w14:paraId="3C402698">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r>
              <w:rPr>
                <w:rFonts w:hint="eastAsia" w:ascii="宋体" w:hAnsi="宋体" w:eastAsia="宋体"/>
                <w:color w:val="000000"/>
                <w:kern w:val="0"/>
                <w:sz w:val="18"/>
                <w:szCs w:val="18"/>
              </w:rPr>
              <w:t>，</w:t>
            </w:r>
            <w:r>
              <w:rPr>
                <w:rFonts w:ascii="宋体" w:hAnsi="宋体" w:eastAsia="宋体"/>
                <w:color w:val="000000"/>
                <w:kern w:val="0"/>
                <w:sz w:val="18"/>
                <w:szCs w:val="18"/>
              </w:rPr>
              <w:t>10]</w:t>
            </w:r>
          </w:p>
        </w:tc>
        <w:tc>
          <w:tcPr>
            <w:tcW w:w="518" w:type="pct"/>
            <w:shd w:val="clear" w:color="auto" w:fill="auto"/>
            <w:noWrap/>
            <w:vAlign w:val="center"/>
          </w:tcPr>
          <w:p w14:paraId="04155DAE">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6</w:t>
            </w:r>
          </w:p>
        </w:tc>
        <w:tc>
          <w:tcPr>
            <w:tcW w:w="385" w:type="pct"/>
            <w:vMerge w:val="continue"/>
            <w:shd w:val="clear" w:color="auto" w:fill="auto"/>
            <w:vAlign w:val="center"/>
          </w:tcPr>
          <w:p w14:paraId="42B78220">
            <w:pPr>
              <w:widowControl/>
              <w:jc w:val="left"/>
              <w:rPr>
                <w:rFonts w:hint="eastAsia" w:ascii="宋体" w:hAnsi="宋体" w:eastAsia="宋体"/>
                <w:color w:val="000000"/>
                <w:kern w:val="0"/>
                <w:sz w:val="18"/>
                <w:szCs w:val="18"/>
              </w:rPr>
            </w:pPr>
          </w:p>
        </w:tc>
      </w:tr>
      <w:tr w14:paraId="4F3A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69906FD9">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651FD556">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1148279A">
            <w:pPr>
              <w:widowControl/>
              <w:jc w:val="left"/>
              <w:rPr>
                <w:rFonts w:hint="eastAsia" w:ascii="宋体" w:hAnsi="宋体" w:eastAsia="宋体"/>
                <w:color w:val="000000"/>
                <w:kern w:val="0"/>
                <w:sz w:val="18"/>
                <w:szCs w:val="18"/>
              </w:rPr>
            </w:pPr>
          </w:p>
        </w:tc>
        <w:tc>
          <w:tcPr>
            <w:tcW w:w="1879" w:type="pct"/>
            <w:shd w:val="clear" w:color="auto" w:fill="auto"/>
            <w:vAlign w:val="center"/>
          </w:tcPr>
          <w:p w14:paraId="1823ECE1">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无渗滤液</w:t>
            </w:r>
          </w:p>
        </w:tc>
        <w:tc>
          <w:tcPr>
            <w:tcW w:w="518" w:type="pct"/>
            <w:shd w:val="clear" w:color="auto" w:fill="auto"/>
            <w:noWrap/>
            <w:vAlign w:val="center"/>
          </w:tcPr>
          <w:p w14:paraId="3543347A">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0</w:t>
            </w:r>
          </w:p>
        </w:tc>
        <w:tc>
          <w:tcPr>
            <w:tcW w:w="385" w:type="pct"/>
            <w:vMerge w:val="continue"/>
            <w:shd w:val="clear" w:color="auto" w:fill="auto"/>
            <w:vAlign w:val="center"/>
          </w:tcPr>
          <w:p w14:paraId="6E4103C2">
            <w:pPr>
              <w:widowControl/>
              <w:jc w:val="left"/>
              <w:rPr>
                <w:rFonts w:hint="eastAsia" w:ascii="宋体" w:hAnsi="宋体" w:eastAsia="宋体"/>
                <w:color w:val="000000"/>
                <w:kern w:val="0"/>
                <w:sz w:val="18"/>
                <w:szCs w:val="18"/>
              </w:rPr>
            </w:pPr>
          </w:p>
        </w:tc>
      </w:tr>
      <w:tr w14:paraId="27F0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05386BB8">
            <w:pPr>
              <w:widowControl/>
              <w:jc w:val="left"/>
              <w:rPr>
                <w:rFonts w:hint="eastAsia" w:ascii="宋体" w:hAnsi="宋体" w:eastAsia="宋体"/>
                <w:color w:val="000000"/>
                <w:kern w:val="0"/>
                <w:sz w:val="18"/>
                <w:szCs w:val="18"/>
              </w:rPr>
            </w:pPr>
          </w:p>
        </w:tc>
        <w:tc>
          <w:tcPr>
            <w:tcW w:w="479" w:type="pct"/>
            <w:vMerge w:val="restart"/>
            <w:shd w:val="clear" w:color="auto" w:fill="auto"/>
            <w:vAlign w:val="center"/>
          </w:tcPr>
          <w:p w14:paraId="60891BA7">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性质</w:t>
            </w:r>
          </w:p>
        </w:tc>
        <w:tc>
          <w:tcPr>
            <w:tcW w:w="1228" w:type="pct"/>
            <w:gridSpan w:val="2"/>
            <w:vMerge w:val="restart"/>
            <w:shd w:val="clear" w:color="auto" w:fill="auto"/>
            <w:vAlign w:val="center"/>
          </w:tcPr>
          <w:p w14:paraId="06F6BD26">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废渣渗滤液</w:t>
            </w:r>
            <w:r>
              <w:rPr>
                <w:rFonts w:ascii="宋体" w:hAnsi="宋体" w:eastAsia="宋体"/>
                <w:color w:val="000000"/>
                <w:kern w:val="0"/>
                <w:sz w:val="18"/>
                <w:szCs w:val="18"/>
              </w:rPr>
              <w:t>pH</w:t>
            </w:r>
          </w:p>
        </w:tc>
        <w:tc>
          <w:tcPr>
            <w:tcW w:w="1879" w:type="pct"/>
            <w:shd w:val="clear" w:color="auto" w:fill="auto"/>
            <w:vAlign w:val="center"/>
          </w:tcPr>
          <w:p w14:paraId="42C3085C">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 xml:space="preserve"> [0</w:t>
            </w:r>
            <w:r>
              <w:rPr>
                <w:rFonts w:hint="eastAsia" w:ascii="宋体" w:hAnsi="宋体" w:eastAsia="宋体"/>
                <w:color w:val="000000"/>
                <w:kern w:val="0"/>
                <w:sz w:val="18"/>
                <w:szCs w:val="18"/>
              </w:rPr>
              <w:t>，</w:t>
            </w:r>
            <w:r>
              <w:rPr>
                <w:rFonts w:ascii="宋体" w:hAnsi="宋体" w:eastAsia="宋体"/>
                <w:color w:val="000000"/>
                <w:kern w:val="0"/>
                <w:sz w:val="18"/>
                <w:szCs w:val="18"/>
              </w:rPr>
              <w:t>2</w:t>
            </w:r>
            <w:r>
              <w:rPr>
                <w:rFonts w:hint="eastAsia" w:ascii="宋体" w:hAnsi="宋体" w:eastAsia="宋体"/>
                <w:color w:val="000000"/>
                <w:kern w:val="0"/>
                <w:sz w:val="18"/>
                <w:szCs w:val="18"/>
              </w:rPr>
              <w:t>）</w:t>
            </w:r>
          </w:p>
        </w:tc>
        <w:tc>
          <w:tcPr>
            <w:tcW w:w="518" w:type="pct"/>
            <w:shd w:val="clear" w:color="auto" w:fill="auto"/>
            <w:vAlign w:val="center"/>
          </w:tcPr>
          <w:p w14:paraId="4F249C0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p>
        </w:tc>
        <w:tc>
          <w:tcPr>
            <w:tcW w:w="385" w:type="pct"/>
            <w:vMerge w:val="restart"/>
            <w:shd w:val="clear" w:color="auto" w:fill="auto"/>
            <w:noWrap/>
            <w:vAlign w:val="center"/>
          </w:tcPr>
          <w:p w14:paraId="4A833E0B">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34</w:t>
            </w:r>
          </w:p>
        </w:tc>
      </w:tr>
      <w:tr w14:paraId="2D60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3DAF7954">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0FCE680E">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7C7AA112">
            <w:pPr>
              <w:widowControl/>
              <w:jc w:val="left"/>
              <w:rPr>
                <w:rFonts w:hint="eastAsia" w:ascii="宋体" w:hAnsi="宋体" w:eastAsia="宋体"/>
                <w:color w:val="000000"/>
                <w:kern w:val="0"/>
                <w:sz w:val="18"/>
                <w:szCs w:val="18"/>
              </w:rPr>
            </w:pPr>
          </w:p>
        </w:tc>
        <w:tc>
          <w:tcPr>
            <w:tcW w:w="1879" w:type="pct"/>
            <w:shd w:val="clear" w:color="auto" w:fill="auto"/>
            <w:vAlign w:val="center"/>
          </w:tcPr>
          <w:p w14:paraId="07823464">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 xml:space="preserve"> [2</w:t>
            </w:r>
            <w:r>
              <w:rPr>
                <w:rFonts w:hint="eastAsia" w:ascii="宋体" w:hAnsi="宋体" w:eastAsia="宋体"/>
                <w:color w:val="000000"/>
                <w:kern w:val="0"/>
                <w:sz w:val="18"/>
                <w:szCs w:val="18"/>
              </w:rPr>
              <w:t>，</w:t>
            </w:r>
            <w:r>
              <w:rPr>
                <w:rFonts w:ascii="宋体" w:hAnsi="宋体" w:eastAsia="宋体"/>
                <w:color w:val="000000"/>
                <w:kern w:val="0"/>
                <w:sz w:val="18"/>
                <w:szCs w:val="18"/>
              </w:rPr>
              <w:t>6</w:t>
            </w:r>
            <w:r>
              <w:rPr>
                <w:rFonts w:hint="eastAsia" w:ascii="宋体" w:hAnsi="宋体" w:eastAsia="宋体"/>
                <w:color w:val="000000"/>
                <w:kern w:val="0"/>
                <w:sz w:val="18"/>
                <w:szCs w:val="18"/>
              </w:rPr>
              <w:t>）</w:t>
            </w:r>
          </w:p>
        </w:tc>
        <w:tc>
          <w:tcPr>
            <w:tcW w:w="518" w:type="pct"/>
            <w:shd w:val="clear" w:color="auto" w:fill="auto"/>
            <w:vAlign w:val="center"/>
          </w:tcPr>
          <w:p w14:paraId="292095C1">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7</w:t>
            </w:r>
          </w:p>
        </w:tc>
        <w:tc>
          <w:tcPr>
            <w:tcW w:w="385" w:type="pct"/>
            <w:vMerge w:val="continue"/>
            <w:shd w:val="clear" w:color="auto" w:fill="auto"/>
            <w:vAlign w:val="center"/>
          </w:tcPr>
          <w:p w14:paraId="621DD425">
            <w:pPr>
              <w:widowControl/>
              <w:jc w:val="left"/>
              <w:rPr>
                <w:rFonts w:hint="eastAsia" w:ascii="宋体" w:hAnsi="宋体" w:eastAsia="宋体"/>
                <w:color w:val="000000"/>
                <w:kern w:val="0"/>
                <w:sz w:val="18"/>
                <w:szCs w:val="18"/>
              </w:rPr>
            </w:pPr>
          </w:p>
        </w:tc>
      </w:tr>
      <w:tr w14:paraId="3FBB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67D333E5">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2C7ABB79">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7B76DE48">
            <w:pPr>
              <w:widowControl/>
              <w:jc w:val="left"/>
              <w:rPr>
                <w:rFonts w:hint="eastAsia" w:ascii="宋体" w:hAnsi="宋体" w:eastAsia="宋体"/>
                <w:color w:val="000000"/>
                <w:kern w:val="0"/>
                <w:sz w:val="18"/>
                <w:szCs w:val="18"/>
              </w:rPr>
            </w:pPr>
          </w:p>
        </w:tc>
        <w:tc>
          <w:tcPr>
            <w:tcW w:w="1879" w:type="pct"/>
            <w:shd w:val="clear" w:color="auto" w:fill="auto"/>
            <w:vAlign w:val="center"/>
          </w:tcPr>
          <w:p w14:paraId="1A3A5B62">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 xml:space="preserve"> [6</w:t>
            </w:r>
            <w:r>
              <w:rPr>
                <w:rFonts w:hint="eastAsia" w:ascii="宋体" w:hAnsi="宋体" w:eastAsia="宋体"/>
                <w:color w:val="000000"/>
                <w:kern w:val="0"/>
                <w:sz w:val="18"/>
                <w:szCs w:val="18"/>
              </w:rPr>
              <w:t>，</w:t>
            </w:r>
            <w:r>
              <w:rPr>
                <w:rFonts w:ascii="宋体" w:hAnsi="宋体" w:eastAsia="宋体"/>
                <w:color w:val="000000"/>
                <w:kern w:val="0"/>
                <w:sz w:val="18"/>
                <w:szCs w:val="18"/>
              </w:rPr>
              <w:t>9]</w:t>
            </w:r>
          </w:p>
        </w:tc>
        <w:tc>
          <w:tcPr>
            <w:tcW w:w="518" w:type="pct"/>
            <w:shd w:val="clear" w:color="auto" w:fill="auto"/>
            <w:vAlign w:val="center"/>
          </w:tcPr>
          <w:p w14:paraId="4BD06F61">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p>
        </w:tc>
        <w:tc>
          <w:tcPr>
            <w:tcW w:w="385" w:type="pct"/>
            <w:vMerge w:val="continue"/>
            <w:shd w:val="clear" w:color="auto" w:fill="auto"/>
            <w:vAlign w:val="center"/>
          </w:tcPr>
          <w:p w14:paraId="164DBF99">
            <w:pPr>
              <w:widowControl/>
              <w:jc w:val="left"/>
              <w:rPr>
                <w:rFonts w:hint="eastAsia" w:ascii="宋体" w:hAnsi="宋体" w:eastAsia="宋体"/>
                <w:color w:val="000000"/>
                <w:kern w:val="0"/>
                <w:sz w:val="18"/>
                <w:szCs w:val="18"/>
              </w:rPr>
            </w:pPr>
          </w:p>
        </w:tc>
      </w:tr>
      <w:tr w14:paraId="5595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2A1FCEB1">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214933BF">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1052D8E4">
            <w:pPr>
              <w:widowControl/>
              <w:jc w:val="left"/>
              <w:rPr>
                <w:rFonts w:hint="eastAsia" w:ascii="宋体" w:hAnsi="宋体" w:eastAsia="宋体"/>
                <w:color w:val="000000"/>
                <w:kern w:val="0"/>
                <w:sz w:val="18"/>
                <w:szCs w:val="18"/>
              </w:rPr>
            </w:pPr>
          </w:p>
        </w:tc>
        <w:tc>
          <w:tcPr>
            <w:tcW w:w="1879" w:type="pct"/>
            <w:shd w:val="clear" w:color="auto" w:fill="auto"/>
            <w:vAlign w:val="center"/>
          </w:tcPr>
          <w:p w14:paraId="555766A3">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9</w:t>
            </w:r>
            <w:r>
              <w:rPr>
                <w:rFonts w:hint="eastAsia" w:ascii="宋体" w:hAnsi="宋体" w:eastAsia="宋体"/>
                <w:color w:val="000000"/>
                <w:kern w:val="0"/>
                <w:sz w:val="18"/>
                <w:szCs w:val="18"/>
              </w:rPr>
              <w:t>，</w:t>
            </w:r>
            <w:r>
              <w:rPr>
                <w:rFonts w:ascii="宋体" w:hAnsi="宋体" w:eastAsia="宋体"/>
                <w:color w:val="000000"/>
                <w:kern w:val="0"/>
                <w:sz w:val="18"/>
                <w:szCs w:val="18"/>
              </w:rPr>
              <w:t>12.5]</w:t>
            </w:r>
          </w:p>
        </w:tc>
        <w:tc>
          <w:tcPr>
            <w:tcW w:w="518" w:type="pct"/>
            <w:shd w:val="clear" w:color="auto" w:fill="auto"/>
            <w:vAlign w:val="center"/>
          </w:tcPr>
          <w:p w14:paraId="150963D1">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p>
        </w:tc>
        <w:tc>
          <w:tcPr>
            <w:tcW w:w="385" w:type="pct"/>
            <w:vMerge w:val="continue"/>
            <w:shd w:val="clear" w:color="auto" w:fill="auto"/>
            <w:vAlign w:val="center"/>
          </w:tcPr>
          <w:p w14:paraId="24471248">
            <w:pPr>
              <w:widowControl/>
              <w:jc w:val="left"/>
              <w:rPr>
                <w:rFonts w:hint="eastAsia" w:ascii="宋体" w:hAnsi="宋体" w:eastAsia="宋体"/>
                <w:color w:val="000000"/>
                <w:kern w:val="0"/>
                <w:sz w:val="18"/>
                <w:szCs w:val="18"/>
              </w:rPr>
            </w:pPr>
          </w:p>
        </w:tc>
      </w:tr>
      <w:tr w14:paraId="266B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56128CD1">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20B11CD2">
            <w:pPr>
              <w:widowControl/>
              <w:jc w:val="left"/>
              <w:rPr>
                <w:rFonts w:hint="eastAsia" w:ascii="宋体" w:hAnsi="宋体" w:eastAsia="宋体"/>
                <w:color w:val="000000"/>
                <w:kern w:val="0"/>
                <w:sz w:val="18"/>
                <w:szCs w:val="18"/>
              </w:rPr>
            </w:pPr>
          </w:p>
        </w:tc>
        <w:tc>
          <w:tcPr>
            <w:tcW w:w="1228" w:type="pct"/>
            <w:gridSpan w:val="2"/>
            <w:vMerge w:val="continue"/>
            <w:shd w:val="clear" w:color="auto" w:fill="auto"/>
            <w:vAlign w:val="center"/>
          </w:tcPr>
          <w:p w14:paraId="45AB7789">
            <w:pPr>
              <w:widowControl/>
              <w:jc w:val="left"/>
              <w:rPr>
                <w:rFonts w:hint="eastAsia" w:ascii="宋体" w:hAnsi="宋体" w:eastAsia="宋体"/>
                <w:color w:val="000000"/>
                <w:kern w:val="0"/>
                <w:sz w:val="18"/>
                <w:szCs w:val="18"/>
              </w:rPr>
            </w:pPr>
          </w:p>
        </w:tc>
        <w:tc>
          <w:tcPr>
            <w:tcW w:w="1879" w:type="pct"/>
            <w:shd w:val="clear" w:color="auto" w:fill="auto"/>
            <w:vAlign w:val="center"/>
          </w:tcPr>
          <w:p w14:paraId="5E15950A">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12.5</w:t>
            </w:r>
            <w:r>
              <w:rPr>
                <w:rFonts w:hint="eastAsia" w:ascii="宋体" w:hAnsi="宋体" w:eastAsia="宋体"/>
                <w:color w:val="000000"/>
                <w:kern w:val="0"/>
                <w:sz w:val="18"/>
                <w:szCs w:val="18"/>
              </w:rPr>
              <w:t>，</w:t>
            </w:r>
            <w:r>
              <w:rPr>
                <w:rFonts w:ascii="宋体" w:hAnsi="宋体" w:eastAsia="宋体"/>
                <w:color w:val="000000"/>
                <w:kern w:val="0"/>
                <w:sz w:val="18"/>
                <w:szCs w:val="18"/>
              </w:rPr>
              <w:t>14]</w:t>
            </w:r>
          </w:p>
        </w:tc>
        <w:tc>
          <w:tcPr>
            <w:tcW w:w="518" w:type="pct"/>
            <w:shd w:val="clear" w:color="auto" w:fill="auto"/>
            <w:vAlign w:val="center"/>
          </w:tcPr>
          <w:p w14:paraId="7D038B67">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7</w:t>
            </w:r>
          </w:p>
        </w:tc>
        <w:tc>
          <w:tcPr>
            <w:tcW w:w="385" w:type="pct"/>
            <w:vMerge w:val="continue"/>
            <w:shd w:val="clear" w:color="auto" w:fill="auto"/>
            <w:vAlign w:val="center"/>
          </w:tcPr>
          <w:p w14:paraId="0C07E868">
            <w:pPr>
              <w:widowControl/>
              <w:jc w:val="left"/>
              <w:rPr>
                <w:rFonts w:hint="eastAsia" w:ascii="宋体" w:hAnsi="宋体" w:eastAsia="宋体"/>
                <w:color w:val="000000"/>
                <w:kern w:val="0"/>
                <w:sz w:val="18"/>
                <w:szCs w:val="18"/>
              </w:rPr>
            </w:pPr>
          </w:p>
        </w:tc>
      </w:tr>
      <w:tr w14:paraId="427D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0606F5CB">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54101BE0">
            <w:pPr>
              <w:widowControl/>
              <w:jc w:val="left"/>
              <w:rPr>
                <w:rFonts w:hint="eastAsia" w:ascii="宋体" w:hAnsi="宋体" w:eastAsia="宋体"/>
                <w:color w:val="000000"/>
                <w:kern w:val="0"/>
                <w:sz w:val="18"/>
                <w:szCs w:val="18"/>
              </w:rPr>
            </w:pPr>
          </w:p>
        </w:tc>
        <w:tc>
          <w:tcPr>
            <w:tcW w:w="545" w:type="pct"/>
            <w:vMerge w:val="restart"/>
            <w:shd w:val="clear" w:color="auto" w:fill="auto"/>
            <w:vAlign w:val="center"/>
          </w:tcPr>
          <w:p w14:paraId="090A43E2">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渗滤液特征污染物指标浓度情况</w:t>
            </w:r>
          </w:p>
        </w:tc>
        <w:tc>
          <w:tcPr>
            <w:tcW w:w="683" w:type="pct"/>
            <w:vMerge w:val="restart"/>
            <w:shd w:val="clear" w:color="auto" w:fill="auto"/>
            <w:vAlign w:val="center"/>
          </w:tcPr>
          <w:p w14:paraId="69DAF0F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指标最高浓度倍数</w:t>
            </w:r>
          </w:p>
        </w:tc>
        <w:tc>
          <w:tcPr>
            <w:tcW w:w="1879" w:type="pct"/>
            <w:shd w:val="clear" w:color="auto" w:fill="auto"/>
            <w:vAlign w:val="center"/>
          </w:tcPr>
          <w:p w14:paraId="0F5B38F5">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有指标浓度倍数为</w:t>
            </w:r>
            <w:r>
              <w:rPr>
                <w:rFonts w:ascii="宋体" w:hAnsi="宋体" w:eastAsia="宋体"/>
                <w:color w:val="000000"/>
                <w:kern w:val="0"/>
                <w:sz w:val="18"/>
                <w:szCs w:val="18"/>
              </w:rPr>
              <w:t>10</w:t>
            </w:r>
            <w:r>
              <w:rPr>
                <w:rFonts w:hint="eastAsia" w:ascii="宋体" w:hAnsi="宋体" w:eastAsia="宋体"/>
                <w:color w:val="000000"/>
                <w:kern w:val="0"/>
                <w:sz w:val="18"/>
                <w:szCs w:val="18"/>
              </w:rPr>
              <w:t>倍及以上</w:t>
            </w:r>
          </w:p>
        </w:tc>
        <w:tc>
          <w:tcPr>
            <w:tcW w:w="518" w:type="pct"/>
            <w:shd w:val="clear" w:color="auto" w:fill="auto"/>
            <w:vAlign w:val="center"/>
          </w:tcPr>
          <w:p w14:paraId="39A4C0D5">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5" w:type="pct"/>
            <w:vMerge w:val="continue"/>
            <w:shd w:val="clear" w:color="auto" w:fill="auto"/>
            <w:vAlign w:val="center"/>
          </w:tcPr>
          <w:p w14:paraId="00867D34">
            <w:pPr>
              <w:widowControl/>
              <w:jc w:val="left"/>
              <w:rPr>
                <w:rFonts w:hint="eastAsia" w:ascii="宋体" w:hAnsi="宋体" w:eastAsia="宋体"/>
                <w:color w:val="000000"/>
                <w:kern w:val="0"/>
                <w:sz w:val="18"/>
                <w:szCs w:val="18"/>
              </w:rPr>
            </w:pPr>
          </w:p>
        </w:tc>
      </w:tr>
      <w:tr w14:paraId="1790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75273B8A">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7D241B75">
            <w:pPr>
              <w:widowControl/>
              <w:jc w:val="left"/>
              <w:rPr>
                <w:rFonts w:hint="eastAsia" w:ascii="宋体" w:hAnsi="宋体" w:eastAsia="宋体"/>
                <w:color w:val="000000"/>
                <w:kern w:val="0"/>
                <w:sz w:val="18"/>
                <w:szCs w:val="18"/>
              </w:rPr>
            </w:pPr>
          </w:p>
        </w:tc>
        <w:tc>
          <w:tcPr>
            <w:tcW w:w="545" w:type="pct"/>
            <w:vMerge w:val="continue"/>
            <w:shd w:val="clear" w:color="auto" w:fill="auto"/>
            <w:vAlign w:val="center"/>
          </w:tcPr>
          <w:p w14:paraId="6D3E614B">
            <w:pPr>
              <w:widowControl/>
              <w:jc w:val="left"/>
              <w:rPr>
                <w:rFonts w:hint="eastAsia" w:ascii="宋体" w:hAnsi="宋体" w:eastAsia="宋体"/>
                <w:color w:val="000000"/>
                <w:kern w:val="0"/>
                <w:sz w:val="18"/>
                <w:szCs w:val="18"/>
              </w:rPr>
            </w:pPr>
          </w:p>
        </w:tc>
        <w:tc>
          <w:tcPr>
            <w:tcW w:w="683" w:type="pct"/>
            <w:vMerge w:val="continue"/>
            <w:shd w:val="clear" w:color="auto" w:fill="auto"/>
            <w:vAlign w:val="center"/>
          </w:tcPr>
          <w:p w14:paraId="0D277BF3">
            <w:pPr>
              <w:widowControl/>
              <w:jc w:val="left"/>
              <w:rPr>
                <w:rFonts w:hint="eastAsia" w:ascii="宋体" w:hAnsi="宋体" w:eastAsia="宋体"/>
                <w:color w:val="000000"/>
                <w:kern w:val="0"/>
                <w:sz w:val="18"/>
                <w:szCs w:val="18"/>
              </w:rPr>
            </w:pPr>
          </w:p>
        </w:tc>
        <w:tc>
          <w:tcPr>
            <w:tcW w:w="1879" w:type="pct"/>
            <w:shd w:val="clear" w:color="auto" w:fill="auto"/>
            <w:vAlign w:val="center"/>
          </w:tcPr>
          <w:p w14:paraId="3ECADCF0">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有指标浓度倍数</w:t>
            </w:r>
            <w:r>
              <w:rPr>
                <w:rFonts w:ascii="宋体" w:hAnsi="宋体" w:eastAsia="宋体"/>
                <w:color w:val="000000"/>
                <w:kern w:val="0"/>
                <w:sz w:val="18"/>
                <w:szCs w:val="18"/>
              </w:rPr>
              <w:t>3</w:t>
            </w:r>
            <w:r>
              <w:rPr>
                <w:rFonts w:hint="eastAsia" w:ascii="宋体" w:hAnsi="宋体" w:eastAsia="宋体"/>
                <w:color w:val="000000"/>
                <w:kern w:val="0"/>
                <w:sz w:val="18"/>
                <w:szCs w:val="18"/>
              </w:rPr>
              <w:t>倍及以上，且所有指标浓度倍数均在</w:t>
            </w:r>
            <w:r>
              <w:rPr>
                <w:rFonts w:ascii="宋体" w:hAnsi="宋体" w:eastAsia="宋体"/>
                <w:color w:val="000000"/>
                <w:kern w:val="0"/>
                <w:sz w:val="18"/>
                <w:szCs w:val="18"/>
              </w:rPr>
              <w:t xml:space="preserve"> 10</w:t>
            </w:r>
            <w:r>
              <w:rPr>
                <w:rFonts w:hint="eastAsia" w:ascii="宋体" w:hAnsi="宋体" w:eastAsia="宋体"/>
                <w:color w:val="000000"/>
                <w:kern w:val="0"/>
                <w:sz w:val="18"/>
                <w:szCs w:val="18"/>
              </w:rPr>
              <w:t>倍以下</w:t>
            </w:r>
          </w:p>
        </w:tc>
        <w:tc>
          <w:tcPr>
            <w:tcW w:w="518" w:type="pct"/>
            <w:shd w:val="clear" w:color="auto" w:fill="auto"/>
            <w:vAlign w:val="center"/>
          </w:tcPr>
          <w:p w14:paraId="078ABDD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p>
        </w:tc>
        <w:tc>
          <w:tcPr>
            <w:tcW w:w="385" w:type="pct"/>
            <w:vMerge w:val="continue"/>
            <w:shd w:val="clear" w:color="auto" w:fill="auto"/>
            <w:vAlign w:val="center"/>
          </w:tcPr>
          <w:p w14:paraId="70A225CA">
            <w:pPr>
              <w:widowControl/>
              <w:jc w:val="left"/>
              <w:rPr>
                <w:rFonts w:hint="eastAsia" w:ascii="宋体" w:hAnsi="宋体" w:eastAsia="宋体"/>
                <w:color w:val="000000"/>
                <w:kern w:val="0"/>
                <w:sz w:val="18"/>
                <w:szCs w:val="18"/>
              </w:rPr>
            </w:pPr>
          </w:p>
        </w:tc>
      </w:tr>
      <w:tr w14:paraId="12554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249CD6F8">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2FEFB379">
            <w:pPr>
              <w:widowControl/>
              <w:jc w:val="left"/>
              <w:rPr>
                <w:rFonts w:hint="eastAsia" w:ascii="宋体" w:hAnsi="宋体" w:eastAsia="宋体"/>
                <w:color w:val="000000"/>
                <w:kern w:val="0"/>
                <w:sz w:val="18"/>
                <w:szCs w:val="18"/>
              </w:rPr>
            </w:pPr>
          </w:p>
        </w:tc>
        <w:tc>
          <w:tcPr>
            <w:tcW w:w="545" w:type="pct"/>
            <w:vMerge w:val="continue"/>
            <w:shd w:val="clear" w:color="auto" w:fill="auto"/>
            <w:vAlign w:val="center"/>
          </w:tcPr>
          <w:p w14:paraId="19C4F875">
            <w:pPr>
              <w:widowControl/>
              <w:jc w:val="left"/>
              <w:rPr>
                <w:rFonts w:hint="eastAsia" w:ascii="宋体" w:hAnsi="宋体" w:eastAsia="宋体"/>
                <w:color w:val="000000"/>
                <w:kern w:val="0"/>
                <w:sz w:val="18"/>
                <w:szCs w:val="18"/>
              </w:rPr>
            </w:pPr>
          </w:p>
        </w:tc>
        <w:tc>
          <w:tcPr>
            <w:tcW w:w="683" w:type="pct"/>
            <w:vMerge w:val="continue"/>
            <w:shd w:val="clear" w:color="auto" w:fill="auto"/>
            <w:vAlign w:val="center"/>
          </w:tcPr>
          <w:p w14:paraId="347C6FA1">
            <w:pPr>
              <w:widowControl/>
              <w:jc w:val="left"/>
              <w:rPr>
                <w:rFonts w:hint="eastAsia" w:ascii="宋体" w:hAnsi="宋体" w:eastAsia="宋体"/>
                <w:color w:val="000000"/>
                <w:kern w:val="0"/>
                <w:sz w:val="18"/>
                <w:szCs w:val="18"/>
              </w:rPr>
            </w:pPr>
          </w:p>
        </w:tc>
        <w:tc>
          <w:tcPr>
            <w:tcW w:w="1879" w:type="pct"/>
            <w:shd w:val="clear" w:color="auto" w:fill="auto"/>
            <w:vAlign w:val="center"/>
          </w:tcPr>
          <w:p w14:paraId="24D34623">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有指标浓度倍数</w:t>
            </w:r>
            <w:r>
              <w:rPr>
                <w:rFonts w:ascii="宋体" w:hAnsi="宋体" w:eastAsia="宋体"/>
                <w:color w:val="000000"/>
                <w:kern w:val="0"/>
                <w:sz w:val="18"/>
                <w:szCs w:val="18"/>
              </w:rPr>
              <w:t>1</w:t>
            </w:r>
            <w:r>
              <w:rPr>
                <w:rFonts w:hint="eastAsia" w:ascii="宋体" w:hAnsi="宋体" w:eastAsia="宋体"/>
                <w:color w:val="000000"/>
                <w:kern w:val="0"/>
                <w:sz w:val="18"/>
                <w:szCs w:val="18"/>
              </w:rPr>
              <w:t>倍及以上，且所有指标浓度倍数均在</w:t>
            </w:r>
            <w:r>
              <w:rPr>
                <w:rFonts w:ascii="宋体" w:hAnsi="宋体" w:eastAsia="宋体"/>
                <w:color w:val="000000"/>
                <w:kern w:val="0"/>
                <w:sz w:val="18"/>
                <w:szCs w:val="18"/>
              </w:rPr>
              <w:t xml:space="preserve"> 3</w:t>
            </w:r>
            <w:r>
              <w:rPr>
                <w:rFonts w:hint="eastAsia" w:ascii="宋体" w:hAnsi="宋体" w:eastAsia="宋体"/>
                <w:color w:val="000000"/>
                <w:kern w:val="0"/>
                <w:sz w:val="18"/>
                <w:szCs w:val="18"/>
              </w:rPr>
              <w:t>倍以下</w:t>
            </w:r>
          </w:p>
        </w:tc>
        <w:tc>
          <w:tcPr>
            <w:tcW w:w="518" w:type="pct"/>
            <w:shd w:val="clear" w:color="auto" w:fill="auto"/>
            <w:vAlign w:val="center"/>
          </w:tcPr>
          <w:p w14:paraId="58366D9A">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6</w:t>
            </w:r>
          </w:p>
        </w:tc>
        <w:tc>
          <w:tcPr>
            <w:tcW w:w="385" w:type="pct"/>
            <w:vMerge w:val="continue"/>
            <w:shd w:val="clear" w:color="auto" w:fill="auto"/>
            <w:vAlign w:val="center"/>
          </w:tcPr>
          <w:p w14:paraId="3B179253">
            <w:pPr>
              <w:widowControl/>
              <w:jc w:val="left"/>
              <w:rPr>
                <w:rFonts w:hint="eastAsia" w:ascii="宋体" w:hAnsi="宋体" w:eastAsia="宋体"/>
                <w:color w:val="000000"/>
                <w:kern w:val="0"/>
                <w:sz w:val="18"/>
                <w:szCs w:val="18"/>
              </w:rPr>
            </w:pPr>
          </w:p>
        </w:tc>
      </w:tr>
      <w:tr w14:paraId="460B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6D2278DA">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5E8324C0">
            <w:pPr>
              <w:widowControl/>
              <w:jc w:val="left"/>
              <w:rPr>
                <w:rFonts w:hint="eastAsia" w:ascii="宋体" w:hAnsi="宋体" w:eastAsia="宋体"/>
                <w:color w:val="000000"/>
                <w:kern w:val="0"/>
                <w:sz w:val="18"/>
                <w:szCs w:val="18"/>
              </w:rPr>
            </w:pPr>
          </w:p>
        </w:tc>
        <w:tc>
          <w:tcPr>
            <w:tcW w:w="545" w:type="pct"/>
            <w:vMerge w:val="continue"/>
            <w:shd w:val="clear" w:color="auto" w:fill="auto"/>
            <w:vAlign w:val="center"/>
          </w:tcPr>
          <w:p w14:paraId="6825C6C5">
            <w:pPr>
              <w:widowControl/>
              <w:jc w:val="left"/>
              <w:rPr>
                <w:rFonts w:hint="eastAsia" w:ascii="宋体" w:hAnsi="宋体" w:eastAsia="宋体"/>
                <w:color w:val="000000"/>
                <w:kern w:val="0"/>
                <w:sz w:val="18"/>
                <w:szCs w:val="18"/>
              </w:rPr>
            </w:pPr>
          </w:p>
        </w:tc>
        <w:tc>
          <w:tcPr>
            <w:tcW w:w="683" w:type="pct"/>
            <w:vMerge w:val="continue"/>
            <w:shd w:val="clear" w:color="auto" w:fill="auto"/>
            <w:vAlign w:val="center"/>
          </w:tcPr>
          <w:p w14:paraId="0C47586C">
            <w:pPr>
              <w:widowControl/>
              <w:jc w:val="left"/>
              <w:rPr>
                <w:rFonts w:hint="eastAsia" w:ascii="宋体" w:hAnsi="宋体" w:eastAsia="宋体"/>
                <w:color w:val="000000"/>
                <w:kern w:val="0"/>
                <w:sz w:val="18"/>
                <w:szCs w:val="18"/>
              </w:rPr>
            </w:pPr>
          </w:p>
        </w:tc>
        <w:tc>
          <w:tcPr>
            <w:tcW w:w="1879" w:type="pct"/>
            <w:shd w:val="clear" w:color="auto" w:fill="auto"/>
            <w:vAlign w:val="center"/>
          </w:tcPr>
          <w:p w14:paraId="2817ED72">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所有指标浓度倍数均在</w:t>
            </w:r>
            <w:r>
              <w:rPr>
                <w:rFonts w:ascii="宋体" w:hAnsi="宋体" w:eastAsia="宋体"/>
                <w:color w:val="000000"/>
                <w:kern w:val="0"/>
                <w:sz w:val="18"/>
                <w:szCs w:val="18"/>
              </w:rPr>
              <w:t>1</w:t>
            </w:r>
            <w:r>
              <w:rPr>
                <w:rFonts w:hint="eastAsia" w:ascii="宋体" w:hAnsi="宋体" w:eastAsia="宋体"/>
                <w:color w:val="000000"/>
                <w:kern w:val="0"/>
                <w:sz w:val="18"/>
                <w:szCs w:val="18"/>
              </w:rPr>
              <w:t>倍以下</w:t>
            </w:r>
          </w:p>
        </w:tc>
        <w:tc>
          <w:tcPr>
            <w:tcW w:w="518" w:type="pct"/>
            <w:shd w:val="clear" w:color="auto" w:fill="auto"/>
            <w:vAlign w:val="center"/>
          </w:tcPr>
          <w:p w14:paraId="38FCE975">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p>
        </w:tc>
        <w:tc>
          <w:tcPr>
            <w:tcW w:w="385" w:type="pct"/>
            <w:vMerge w:val="continue"/>
            <w:shd w:val="clear" w:color="auto" w:fill="auto"/>
            <w:vAlign w:val="center"/>
          </w:tcPr>
          <w:p w14:paraId="59950C70">
            <w:pPr>
              <w:widowControl/>
              <w:jc w:val="left"/>
              <w:rPr>
                <w:rFonts w:hint="eastAsia" w:ascii="宋体" w:hAnsi="宋体" w:eastAsia="宋体"/>
                <w:color w:val="000000"/>
                <w:kern w:val="0"/>
                <w:sz w:val="18"/>
                <w:szCs w:val="18"/>
              </w:rPr>
            </w:pPr>
          </w:p>
        </w:tc>
      </w:tr>
      <w:tr w14:paraId="596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2F9F6989">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11A06E1C">
            <w:pPr>
              <w:widowControl/>
              <w:jc w:val="left"/>
              <w:rPr>
                <w:rFonts w:hint="eastAsia" w:ascii="宋体" w:hAnsi="宋体" w:eastAsia="宋体"/>
                <w:color w:val="000000"/>
                <w:kern w:val="0"/>
                <w:sz w:val="18"/>
                <w:szCs w:val="18"/>
              </w:rPr>
            </w:pPr>
          </w:p>
        </w:tc>
        <w:tc>
          <w:tcPr>
            <w:tcW w:w="545" w:type="pct"/>
            <w:vMerge w:val="continue"/>
            <w:shd w:val="clear" w:color="auto" w:fill="auto"/>
            <w:vAlign w:val="center"/>
          </w:tcPr>
          <w:p w14:paraId="52ACEAA2">
            <w:pPr>
              <w:widowControl/>
              <w:jc w:val="left"/>
              <w:rPr>
                <w:rFonts w:hint="eastAsia" w:ascii="宋体" w:hAnsi="宋体" w:eastAsia="宋体"/>
                <w:color w:val="000000"/>
                <w:kern w:val="0"/>
                <w:sz w:val="18"/>
                <w:szCs w:val="18"/>
              </w:rPr>
            </w:pPr>
          </w:p>
        </w:tc>
        <w:tc>
          <w:tcPr>
            <w:tcW w:w="683" w:type="pct"/>
            <w:vMerge w:val="restart"/>
            <w:shd w:val="clear" w:color="auto" w:fill="auto"/>
            <w:vAlign w:val="center"/>
          </w:tcPr>
          <w:p w14:paraId="4EB2271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浓度倍数</w:t>
            </w:r>
            <w:r>
              <w:rPr>
                <w:rFonts w:ascii="宋体" w:hAnsi="宋体" w:eastAsia="宋体"/>
                <w:color w:val="000000"/>
                <w:kern w:val="0"/>
                <w:sz w:val="18"/>
                <w:szCs w:val="18"/>
              </w:rPr>
              <w:t xml:space="preserve">3 </w:t>
            </w:r>
            <w:r>
              <w:rPr>
                <w:rFonts w:hint="eastAsia" w:ascii="宋体" w:hAnsi="宋体" w:eastAsia="宋体"/>
                <w:color w:val="000000"/>
                <w:kern w:val="0"/>
                <w:sz w:val="18"/>
                <w:szCs w:val="18"/>
              </w:rPr>
              <w:t>倍及以上的指标项数</w:t>
            </w:r>
          </w:p>
        </w:tc>
        <w:tc>
          <w:tcPr>
            <w:tcW w:w="1879" w:type="pct"/>
            <w:shd w:val="clear" w:color="auto" w:fill="auto"/>
            <w:vAlign w:val="center"/>
          </w:tcPr>
          <w:p w14:paraId="23934A58">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r>
              <w:rPr>
                <w:rFonts w:hint="eastAsia" w:ascii="宋体" w:hAnsi="宋体" w:eastAsia="宋体"/>
                <w:color w:val="000000"/>
                <w:kern w:val="0"/>
                <w:sz w:val="18"/>
                <w:szCs w:val="18"/>
              </w:rPr>
              <w:t>项及以上</w:t>
            </w:r>
          </w:p>
        </w:tc>
        <w:tc>
          <w:tcPr>
            <w:tcW w:w="518" w:type="pct"/>
            <w:shd w:val="clear" w:color="auto" w:fill="auto"/>
            <w:vAlign w:val="center"/>
          </w:tcPr>
          <w:p w14:paraId="6497DE65">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5" w:type="pct"/>
            <w:vMerge w:val="continue"/>
            <w:shd w:val="clear" w:color="auto" w:fill="auto"/>
            <w:vAlign w:val="center"/>
          </w:tcPr>
          <w:p w14:paraId="313BAD06">
            <w:pPr>
              <w:widowControl/>
              <w:jc w:val="left"/>
              <w:rPr>
                <w:rFonts w:hint="eastAsia" w:ascii="宋体" w:hAnsi="宋体" w:eastAsia="宋体"/>
                <w:color w:val="000000"/>
                <w:kern w:val="0"/>
                <w:sz w:val="18"/>
                <w:szCs w:val="18"/>
              </w:rPr>
            </w:pPr>
          </w:p>
        </w:tc>
      </w:tr>
      <w:tr w14:paraId="66C9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3E9F7A59">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072584A6">
            <w:pPr>
              <w:widowControl/>
              <w:jc w:val="left"/>
              <w:rPr>
                <w:rFonts w:hint="eastAsia" w:ascii="宋体" w:hAnsi="宋体" w:eastAsia="宋体"/>
                <w:color w:val="000000"/>
                <w:kern w:val="0"/>
                <w:sz w:val="18"/>
                <w:szCs w:val="18"/>
              </w:rPr>
            </w:pPr>
          </w:p>
        </w:tc>
        <w:tc>
          <w:tcPr>
            <w:tcW w:w="545" w:type="pct"/>
            <w:vMerge w:val="continue"/>
            <w:shd w:val="clear" w:color="auto" w:fill="auto"/>
            <w:vAlign w:val="center"/>
          </w:tcPr>
          <w:p w14:paraId="455E7F63">
            <w:pPr>
              <w:widowControl/>
              <w:jc w:val="left"/>
              <w:rPr>
                <w:rFonts w:hint="eastAsia" w:ascii="宋体" w:hAnsi="宋体" w:eastAsia="宋体"/>
                <w:color w:val="000000"/>
                <w:kern w:val="0"/>
                <w:sz w:val="18"/>
                <w:szCs w:val="18"/>
              </w:rPr>
            </w:pPr>
          </w:p>
        </w:tc>
        <w:tc>
          <w:tcPr>
            <w:tcW w:w="683" w:type="pct"/>
            <w:vMerge w:val="continue"/>
            <w:shd w:val="clear" w:color="auto" w:fill="auto"/>
            <w:vAlign w:val="center"/>
          </w:tcPr>
          <w:p w14:paraId="5549E3D0">
            <w:pPr>
              <w:widowControl/>
              <w:jc w:val="left"/>
              <w:rPr>
                <w:rFonts w:hint="eastAsia" w:ascii="宋体" w:hAnsi="宋体" w:eastAsia="宋体"/>
                <w:color w:val="000000"/>
                <w:kern w:val="0"/>
                <w:sz w:val="18"/>
                <w:szCs w:val="18"/>
              </w:rPr>
            </w:pPr>
          </w:p>
        </w:tc>
        <w:tc>
          <w:tcPr>
            <w:tcW w:w="1879" w:type="pct"/>
            <w:shd w:val="clear" w:color="auto" w:fill="auto"/>
            <w:vAlign w:val="center"/>
          </w:tcPr>
          <w:p w14:paraId="0EB57D27">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2</w:t>
            </w:r>
            <w:r>
              <w:rPr>
                <w:rFonts w:hint="eastAsia" w:ascii="宋体" w:hAnsi="宋体" w:eastAsia="宋体"/>
                <w:color w:val="000000"/>
                <w:kern w:val="0"/>
                <w:sz w:val="18"/>
                <w:szCs w:val="18"/>
              </w:rPr>
              <w:t>至</w:t>
            </w:r>
            <w:r>
              <w:rPr>
                <w:rFonts w:ascii="宋体" w:hAnsi="宋体" w:eastAsia="宋体"/>
                <w:color w:val="000000"/>
                <w:kern w:val="0"/>
                <w:sz w:val="18"/>
                <w:szCs w:val="18"/>
              </w:rPr>
              <w:t>4</w:t>
            </w:r>
            <w:r>
              <w:rPr>
                <w:rFonts w:hint="eastAsia" w:ascii="宋体" w:hAnsi="宋体" w:eastAsia="宋体"/>
                <w:color w:val="000000"/>
                <w:kern w:val="0"/>
                <w:sz w:val="18"/>
                <w:szCs w:val="18"/>
              </w:rPr>
              <w:t>项</w:t>
            </w:r>
          </w:p>
        </w:tc>
        <w:tc>
          <w:tcPr>
            <w:tcW w:w="518" w:type="pct"/>
            <w:shd w:val="clear" w:color="auto" w:fill="auto"/>
            <w:vAlign w:val="center"/>
          </w:tcPr>
          <w:p w14:paraId="638F0BC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8</w:t>
            </w:r>
          </w:p>
        </w:tc>
        <w:tc>
          <w:tcPr>
            <w:tcW w:w="385" w:type="pct"/>
            <w:vMerge w:val="continue"/>
            <w:shd w:val="clear" w:color="auto" w:fill="auto"/>
            <w:vAlign w:val="center"/>
          </w:tcPr>
          <w:p w14:paraId="01C467A8">
            <w:pPr>
              <w:widowControl/>
              <w:jc w:val="left"/>
              <w:rPr>
                <w:rFonts w:hint="eastAsia" w:ascii="宋体" w:hAnsi="宋体" w:eastAsia="宋体"/>
                <w:color w:val="000000"/>
                <w:kern w:val="0"/>
                <w:sz w:val="18"/>
                <w:szCs w:val="18"/>
              </w:rPr>
            </w:pPr>
          </w:p>
        </w:tc>
      </w:tr>
      <w:tr w14:paraId="0455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5234B97B">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4BBC786D">
            <w:pPr>
              <w:widowControl/>
              <w:jc w:val="left"/>
              <w:rPr>
                <w:rFonts w:hint="eastAsia" w:ascii="宋体" w:hAnsi="宋体" w:eastAsia="宋体"/>
                <w:color w:val="000000"/>
                <w:kern w:val="0"/>
                <w:sz w:val="18"/>
                <w:szCs w:val="18"/>
              </w:rPr>
            </w:pPr>
          </w:p>
        </w:tc>
        <w:tc>
          <w:tcPr>
            <w:tcW w:w="545" w:type="pct"/>
            <w:vMerge w:val="continue"/>
            <w:shd w:val="clear" w:color="auto" w:fill="auto"/>
            <w:vAlign w:val="center"/>
          </w:tcPr>
          <w:p w14:paraId="1864D826">
            <w:pPr>
              <w:widowControl/>
              <w:jc w:val="left"/>
              <w:rPr>
                <w:rFonts w:hint="eastAsia" w:ascii="宋体" w:hAnsi="宋体" w:eastAsia="宋体"/>
                <w:color w:val="000000"/>
                <w:kern w:val="0"/>
                <w:sz w:val="18"/>
                <w:szCs w:val="18"/>
              </w:rPr>
            </w:pPr>
          </w:p>
        </w:tc>
        <w:tc>
          <w:tcPr>
            <w:tcW w:w="683" w:type="pct"/>
            <w:vMerge w:val="continue"/>
            <w:shd w:val="clear" w:color="auto" w:fill="auto"/>
            <w:vAlign w:val="center"/>
          </w:tcPr>
          <w:p w14:paraId="6FC4E884">
            <w:pPr>
              <w:widowControl/>
              <w:jc w:val="left"/>
              <w:rPr>
                <w:rFonts w:hint="eastAsia" w:ascii="宋体" w:hAnsi="宋体" w:eastAsia="宋体"/>
                <w:color w:val="000000"/>
                <w:kern w:val="0"/>
                <w:sz w:val="18"/>
                <w:szCs w:val="18"/>
              </w:rPr>
            </w:pPr>
          </w:p>
        </w:tc>
        <w:tc>
          <w:tcPr>
            <w:tcW w:w="1879" w:type="pct"/>
            <w:shd w:val="clear" w:color="auto" w:fill="auto"/>
            <w:vAlign w:val="center"/>
          </w:tcPr>
          <w:p w14:paraId="7019116D">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w:t>
            </w:r>
            <w:r>
              <w:rPr>
                <w:rFonts w:hint="eastAsia" w:ascii="宋体" w:hAnsi="宋体" w:eastAsia="宋体"/>
                <w:color w:val="000000"/>
                <w:kern w:val="0"/>
                <w:sz w:val="18"/>
                <w:szCs w:val="18"/>
              </w:rPr>
              <w:t>项</w:t>
            </w:r>
          </w:p>
        </w:tc>
        <w:tc>
          <w:tcPr>
            <w:tcW w:w="518" w:type="pct"/>
            <w:shd w:val="clear" w:color="auto" w:fill="auto"/>
            <w:vAlign w:val="center"/>
          </w:tcPr>
          <w:p w14:paraId="0CBE7E02">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4</w:t>
            </w:r>
          </w:p>
        </w:tc>
        <w:tc>
          <w:tcPr>
            <w:tcW w:w="385" w:type="pct"/>
            <w:vMerge w:val="continue"/>
            <w:shd w:val="clear" w:color="auto" w:fill="auto"/>
            <w:vAlign w:val="center"/>
          </w:tcPr>
          <w:p w14:paraId="02F4CC80">
            <w:pPr>
              <w:widowControl/>
              <w:jc w:val="left"/>
              <w:rPr>
                <w:rFonts w:hint="eastAsia" w:ascii="宋体" w:hAnsi="宋体" w:eastAsia="宋体"/>
                <w:color w:val="000000"/>
                <w:kern w:val="0"/>
                <w:sz w:val="18"/>
                <w:szCs w:val="18"/>
              </w:rPr>
            </w:pPr>
          </w:p>
        </w:tc>
      </w:tr>
      <w:tr w14:paraId="083D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12" w:type="pct"/>
            <w:vMerge w:val="continue"/>
            <w:shd w:val="clear" w:color="auto" w:fill="auto"/>
            <w:vAlign w:val="center"/>
          </w:tcPr>
          <w:p w14:paraId="723F4E84">
            <w:pPr>
              <w:widowControl/>
              <w:jc w:val="left"/>
              <w:rPr>
                <w:rFonts w:hint="eastAsia" w:ascii="宋体" w:hAnsi="宋体" w:eastAsia="宋体"/>
                <w:color w:val="000000"/>
                <w:kern w:val="0"/>
                <w:sz w:val="18"/>
                <w:szCs w:val="18"/>
              </w:rPr>
            </w:pPr>
          </w:p>
        </w:tc>
        <w:tc>
          <w:tcPr>
            <w:tcW w:w="479" w:type="pct"/>
            <w:vMerge w:val="continue"/>
            <w:shd w:val="clear" w:color="auto" w:fill="auto"/>
            <w:vAlign w:val="center"/>
          </w:tcPr>
          <w:p w14:paraId="01B422A5">
            <w:pPr>
              <w:widowControl/>
              <w:jc w:val="left"/>
              <w:rPr>
                <w:rFonts w:hint="eastAsia" w:ascii="宋体" w:hAnsi="宋体" w:eastAsia="宋体"/>
                <w:color w:val="000000"/>
                <w:kern w:val="0"/>
                <w:sz w:val="18"/>
                <w:szCs w:val="18"/>
              </w:rPr>
            </w:pPr>
          </w:p>
        </w:tc>
        <w:tc>
          <w:tcPr>
            <w:tcW w:w="545" w:type="pct"/>
            <w:vMerge w:val="continue"/>
            <w:shd w:val="clear" w:color="auto" w:fill="auto"/>
            <w:vAlign w:val="center"/>
          </w:tcPr>
          <w:p w14:paraId="76A1D281">
            <w:pPr>
              <w:widowControl/>
              <w:jc w:val="left"/>
              <w:rPr>
                <w:rFonts w:hint="eastAsia" w:ascii="宋体" w:hAnsi="宋体" w:eastAsia="宋体"/>
                <w:color w:val="000000"/>
                <w:kern w:val="0"/>
                <w:sz w:val="18"/>
                <w:szCs w:val="18"/>
              </w:rPr>
            </w:pPr>
          </w:p>
        </w:tc>
        <w:tc>
          <w:tcPr>
            <w:tcW w:w="683" w:type="pct"/>
            <w:vMerge w:val="continue"/>
            <w:shd w:val="clear" w:color="auto" w:fill="auto"/>
            <w:vAlign w:val="center"/>
          </w:tcPr>
          <w:p w14:paraId="39159268">
            <w:pPr>
              <w:widowControl/>
              <w:jc w:val="left"/>
              <w:rPr>
                <w:rFonts w:hint="eastAsia" w:ascii="宋体" w:hAnsi="宋体" w:eastAsia="宋体"/>
                <w:color w:val="000000"/>
                <w:kern w:val="0"/>
                <w:sz w:val="18"/>
                <w:szCs w:val="18"/>
              </w:rPr>
            </w:pPr>
          </w:p>
        </w:tc>
        <w:tc>
          <w:tcPr>
            <w:tcW w:w="1879" w:type="pct"/>
            <w:shd w:val="clear" w:color="auto" w:fill="auto"/>
            <w:vAlign w:val="center"/>
          </w:tcPr>
          <w:p w14:paraId="0B9E6DC9">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无</w:t>
            </w:r>
          </w:p>
        </w:tc>
        <w:tc>
          <w:tcPr>
            <w:tcW w:w="518" w:type="pct"/>
            <w:shd w:val="clear" w:color="auto" w:fill="auto"/>
            <w:vAlign w:val="center"/>
          </w:tcPr>
          <w:p w14:paraId="57E66EDE">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p>
        </w:tc>
        <w:tc>
          <w:tcPr>
            <w:tcW w:w="385" w:type="pct"/>
            <w:vMerge w:val="continue"/>
            <w:shd w:val="clear" w:color="auto" w:fill="auto"/>
            <w:vAlign w:val="center"/>
          </w:tcPr>
          <w:p w14:paraId="3E3812FD">
            <w:pPr>
              <w:widowControl/>
              <w:jc w:val="left"/>
              <w:rPr>
                <w:rFonts w:hint="eastAsia" w:ascii="宋体" w:hAnsi="宋体" w:eastAsia="宋体"/>
                <w:color w:val="000000"/>
                <w:kern w:val="0"/>
                <w:sz w:val="18"/>
                <w:szCs w:val="18"/>
              </w:rPr>
            </w:pPr>
          </w:p>
        </w:tc>
      </w:tr>
      <w:tr w14:paraId="284B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7"/>
            <w:shd w:val="clear" w:color="auto" w:fill="auto"/>
            <w:vAlign w:val="center"/>
          </w:tcPr>
          <w:p w14:paraId="33BFA635">
            <w:pPr>
              <w:ind w:left="360" w:hanging="360" w:hangingChars="200"/>
              <w:rPr>
                <w:rFonts w:hint="eastAsia" w:ascii="宋体" w:hAnsi="宋体" w:eastAsia="宋体"/>
                <w:color w:val="000000"/>
                <w:sz w:val="18"/>
                <w:szCs w:val="18"/>
              </w:rPr>
            </w:pPr>
            <w:r>
              <w:rPr>
                <w:rFonts w:ascii="宋体" w:hAnsi="宋体" w:eastAsia="宋体"/>
                <w:color w:val="000000"/>
                <w:sz w:val="18"/>
                <w:szCs w:val="18"/>
              </w:rPr>
              <w:t>注</w:t>
            </w:r>
            <w:r>
              <w:rPr>
                <w:rFonts w:hint="eastAsia" w:ascii="宋体" w:hAnsi="宋体" w:eastAsia="宋体"/>
                <w:color w:val="000000"/>
                <w:sz w:val="18"/>
                <w:szCs w:val="18"/>
              </w:rPr>
              <w:t>1</w:t>
            </w:r>
            <w:r>
              <w:rPr>
                <w:rFonts w:ascii="宋体" w:hAnsi="宋体" w:eastAsia="宋体"/>
                <w:color w:val="000000"/>
                <w:sz w:val="18"/>
                <w:szCs w:val="18"/>
              </w:rPr>
              <w:t>：</w:t>
            </w:r>
            <w:r>
              <w:rPr>
                <w:rFonts w:hint="eastAsia" w:ascii="宋体" w:hAnsi="宋体" w:eastAsia="宋体"/>
                <w:color w:val="000000"/>
                <w:sz w:val="18"/>
                <w:szCs w:val="18"/>
              </w:rPr>
              <w:t>pH、特征污染物浓度是废渣过水或渗滤液的检测值，若调查期间无过水或渗滤液可采用HJ557方法制备浸出液，其检测结果用于废渣性质的判断。</w:t>
            </w:r>
          </w:p>
          <w:p w14:paraId="5A5805FC">
            <w:pPr>
              <w:ind w:left="360" w:hanging="360" w:hangingChars="200"/>
              <w:rPr>
                <w:rFonts w:hint="eastAsia" w:ascii="宋体" w:hAnsi="宋体" w:eastAsia="宋体"/>
                <w:color w:val="000000"/>
                <w:sz w:val="18"/>
                <w:szCs w:val="18"/>
              </w:rPr>
            </w:pPr>
            <w:r>
              <w:rPr>
                <w:rFonts w:ascii="宋体" w:hAnsi="宋体" w:eastAsia="宋体"/>
                <w:color w:val="000000"/>
                <w:sz w:val="18"/>
                <w:szCs w:val="18"/>
              </w:rPr>
              <w:t>注</w:t>
            </w:r>
            <w:r>
              <w:rPr>
                <w:rFonts w:hint="eastAsia" w:ascii="宋体" w:hAnsi="宋体" w:eastAsia="宋体"/>
                <w:color w:val="000000"/>
                <w:sz w:val="18"/>
                <w:szCs w:val="18"/>
              </w:rPr>
              <w:t>2</w:t>
            </w:r>
            <w:r>
              <w:rPr>
                <w:rFonts w:ascii="宋体" w:hAnsi="宋体" w:eastAsia="宋体"/>
                <w:color w:val="000000"/>
                <w:sz w:val="18"/>
                <w:szCs w:val="18"/>
              </w:rPr>
              <w:t>：</w:t>
            </w:r>
            <w:r>
              <w:rPr>
                <w:rFonts w:hint="eastAsia" w:ascii="宋体" w:hAnsi="宋体" w:eastAsia="宋体"/>
                <w:color w:val="000000"/>
                <w:sz w:val="18"/>
                <w:szCs w:val="18"/>
              </w:rPr>
              <w:t>特征污染物浓度倍数：指特征污染物的实测浓度与区域环境质量保护目标的比值，若无明确规定采用GB3838 Ⅲ类水标准。</w:t>
            </w:r>
          </w:p>
          <w:p w14:paraId="7DEA805D">
            <w:pPr>
              <w:ind w:left="360" w:hanging="360" w:hangingChars="200"/>
              <w:rPr>
                <w:rFonts w:hint="eastAsia" w:ascii="宋体" w:hAnsi="宋体" w:eastAsia="宋体"/>
                <w:color w:val="000000"/>
                <w:sz w:val="18"/>
                <w:szCs w:val="18"/>
              </w:rPr>
            </w:pPr>
            <w:r>
              <w:rPr>
                <w:rFonts w:ascii="宋体" w:hAnsi="宋体" w:eastAsia="宋体"/>
                <w:color w:val="000000"/>
                <w:sz w:val="18"/>
                <w:szCs w:val="18"/>
              </w:rPr>
              <w:t>注</w:t>
            </w:r>
            <w:r>
              <w:rPr>
                <w:rFonts w:hint="eastAsia" w:ascii="宋体" w:hAnsi="宋体" w:eastAsia="宋体"/>
                <w:color w:val="000000"/>
                <w:sz w:val="18"/>
                <w:szCs w:val="18"/>
              </w:rPr>
              <w:t>3</w:t>
            </w:r>
            <w:r>
              <w:rPr>
                <w:rFonts w:ascii="宋体" w:hAnsi="宋体" w:eastAsia="宋体"/>
                <w:color w:val="000000"/>
                <w:sz w:val="18"/>
                <w:szCs w:val="18"/>
              </w:rPr>
              <w:t>：</w:t>
            </w:r>
            <w:r>
              <w:rPr>
                <w:rFonts w:hint="eastAsia" w:ascii="宋体" w:hAnsi="宋体" w:eastAsia="宋体"/>
                <w:color w:val="000000"/>
                <w:sz w:val="18"/>
                <w:szCs w:val="18"/>
              </w:rPr>
              <w:t>指标最高浓度倍数：指所有特征污染物指标浓度倍数的最大值。</w:t>
            </w:r>
          </w:p>
        </w:tc>
      </w:tr>
    </w:tbl>
    <w:p w14:paraId="73449583">
      <w:pPr>
        <w:rPr>
          <w:rFonts w:hint="eastAsia" w:ascii="宋体" w:hAnsi="宋体" w:eastAsia="宋体"/>
          <w:color w:val="000000"/>
          <w:szCs w:val="21"/>
        </w:rPr>
      </w:pPr>
    </w:p>
    <w:p w14:paraId="459B15F4">
      <w:pPr>
        <w:rPr>
          <w:rFonts w:hint="eastAsia" w:ascii="黑体" w:hAnsi="黑体" w:eastAsia="黑体" w:cs="黑体"/>
          <w:b/>
          <w:bCs/>
          <w:kern w:val="36"/>
          <w:szCs w:val="21"/>
        </w:rPr>
        <w:sectPr>
          <w:pgSz w:w="11906" w:h="16838"/>
          <w:pgMar w:top="1276" w:right="1800" w:bottom="1276" w:left="1800" w:header="851" w:footer="992" w:gutter="0"/>
          <w:cols w:space="720" w:num="1"/>
          <w:docGrid w:type="lines" w:linePitch="312" w:charSpace="0"/>
        </w:sectPr>
      </w:pPr>
    </w:p>
    <w:p w14:paraId="1858FF04">
      <w:pPr>
        <w:pStyle w:val="2"/>
        <w:spacing w:before="120" w:beforeAutospacing="0" w:afterAutospacing="0"/>
        <w:jc w:val="center"/>
        <w:rPr>
          <w:rFonts w:ascii="黑体" w:hAnsi="黑体" w:eastAsia="黑体" w:cs="黑体"/>
          <w:b w:val="0"/>
          <w:bCs/>
          <w:kern w:val="36"/>
          <w:sz w:val="21"/>
          <w:szCs w:val="21"/>
        </w:rPr>
      </w:pPr>
      <w:bookmarkStart w:id="136" w:name="_Toc182575446"/>
      <w:bookmarkStart w:id="137" w:name="_Toc193268290"/>
      <w:bookmarkStart w:id="138" w:name="_Toc194589005"/>
      <w:bookmarkStart w:id="139" w:name="_Toc183542819"/>
      <w:bookmarkStart w:id="140" w:name="_Toc193189074"/>
      <w:r>
        <w:rPr>
          <w:rFonts w:ascii="黑体" w:hAnsi="黑体" w:eastAsia="黑体" w:cs="黑体"/>
          <w:b w:val="0"/>
          <w:bCs/>
          <w:kern w:val="36"/>
          <w:sz w:val="21"/>
          <w:szCs w:val="21"/>
        </w:rPr>
        <w:t>表A.2 矿硐风险源危害性指标评分表</w:t>
      </w:r>
      <w:bookmarkEnd w:id="136"/>
      <w:bookmarkEnd w:id="137"/>
      <w:bookmarkEnd w:id="138"/>
      <w:bookmarkEnd w:id="139"/>
      <w:bookmarkEnd w:id="140"/>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9"/>
        <w:gridCol w:w="670"/>
        <w:gridCol w:w="1222"/>
        <w:gridCol w:w="1147"/>
        <w:gridCol w:w="2766"/>
        <w:gridCol w:w="874"/>
        <w:gridCol w:w="664"/>
      </w:tblGrid>
      <w:tr w14:paraId="120D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2" w:type="pct"/>
            <w:shd w:val="clear" w:color="auto" w:fill="auto"/>
            <w:noWrap/>
            <w:vAlign w:val="center"/>
          </w:tcPr>
          <w:p w14:paraId="293BF45A">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目标层</w:t>
            </w:r>
          </w:p>
        </w:tc>
        <w:tc>
          <w:tcPr>
            <w:tcW w:w="393" w:type="pct"/>
            <w:shd w:val="clear" w:color="auto" w:fill="auto"/>
            <w:vAlign w:val="center"/>
          </w:tcPr>
          <w:p w14:paraId="7C19E780">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准则层</w:t>
            </w:r>
          </w:p>
        </w:tc>
        <w:tc>
          <w:tcPr>
            <w:tcW w:w="1390" w:type="pct"/>
            <w:gridSpan w:val="2"/>
            <w:shd w:val="clear" w:color="auto" w:fill="auto"/>
            <w:vAlign w:val="center"/>
          </w:tcPr>
          <w:p w14:paraId="08D30C4B">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指标层</w:t>
            </w:r>
          </w:p>
        </w:tc>
        <w:tc>
          <w:tcPr>
            <w:tcW w:w="1623" w:type="pct"/>
            <w:shd w:val="clear" w:color="auto" w:fill="auto"/>
            <w:vAlign w:val="center"/>
          </w:tcPr>
          <w:p w14:paraId="238B5737">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分级标准</w:t>
            </w:r>
          </w:p>
        </w:tc>
        <w:tc>
          <w:tcPr>
            <w:tcW w:w="513" w:type="pct"/>
            <w:shd w:val="clear" w:color="auto" w:fill="auto"/>
            <w:vAlign w:val="center"/>
          </w:tcPr>
          <w:p w14:paraId="339D94C6">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分值</w:t>
            </w:r>
          </w:p>
        </w:tc>
        <w:tc>
          <w:tcPr>
            <w:tcW w:w="389" w:type="pct"/>
            <w:shd w:val="clear" w:color="auto" w:fill="auto"/>
            <w:vAlign w:val="center"/>
          </w:tcPr>
          <w:p w14:paraId="3F6147D2">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合计</w:t>
            </w:r>
          </w:p>
        </w:tc>
      </w:tr>
      <w:tr w14:paraId="67860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2" w:type="pct"/>
            <w:vMerge w:val="restart"/>
            <w:shd w:val="clear" w:color="auto" w:fill="auto"/>
            <w:vAlign w:val="center"/>
          </w:tcPr>
          <w:p w14:paraId="1C822865">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矿硐风险源危害性</w:t>
            </w:r>
          </w:p>
        </w:tc>
        <w:tc>
          <w:tcPr>
            <w:tcW w:w="393" w:type="pct"/>
            <w:vMerge w:val="restart"/>
            <w:shd w:val="clear" w:color="auto" w:fill="auto"/>
            <w:vAlign w:val="center"/>
          </w:tcPr>
          <w:p w14:paraId="48546F2D">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类型</w:t>
            </w:r>
          </w:p>
        </w:tc>
        <w:tc>
          <w:tcPr>
            <w:tcW w:w="1390" w:type="pct"/>
            <w:gridSpan w:val="2"/>
            <w:vMerge w:val="restart"/>
            <w:shd w:val="clear" w:color="auto" w:fill="auto"/>
            <w:vAlign w:val="center"/>
          </w:tcPr>
          <w:p w14:paraId="6A39EBEF">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矿硐主要充水因素</w:t>
            </w:r>
          </w:p>
        </w:tc>
        <w:tc>
          <w:tcPr>
            <w:tcW w:w="1623" w:type="pct"/>
            <w:shd w:val="clear" w:color="auto" w:fill="auto"/>
            <w:vAlign w:val="center"/>
          </w:tcPr>
          <w:p w14:paraId="4B1D20D1">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河流补给</w:t>
            </w:r>
          </w:p>
        </w:tc>
        <w:tc>
          <w:tcPr>
            <w:tcW w:w="513" w:type="pct"/>
            <w:shd w:val="clear" w:color="auto" w:fill="auto"/>
            <w:vAlign w:val="center"/>
          </w:tcPr>
          <w:p w14:paraId="3780C878">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15</w:t>
            </w:r>
          </w:p>
        </w:tc>
        <w:tc>
          <w:tcPr>
            <w:tcW w:w="389" w:type="pct"/>
            <w:vMerge w:val="restart"/>
            <w:shd w:val="clear" w:color="auto" w:fill="auto"/>
            <w:vAlign w:val="center"/>
          </w:tcPr>
          <w:p w14:paraId="62977590">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31</w:t>
            </w:r>
          </w:p>
        </w:tc>
      </w:tr>
      <w:tr w14:paraId="4FA3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2" w:type="pct"/>
            <w:vMerge w:val="continue"/>
            <w:shd w:val="clear" w:color="auto" w:fill="auto"/>
            <w:vAlign w:val="center"/>
          </w:tcPr>
          <w:p w14:paraId="1C508D82">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5951817A">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26E10994">
            <w:pPr>
              <w:widowControl/>
              <w:jc w:val="left"/>
              <w:rPr>
                <w:rFonts w:hint="eastAsia" w:ascii="宋体" w:hAnsi="宋体" w:eastAsia="宋体"/>
                <w:color w:val="000000"/>
                <w:kern w:val="0"/>
                <w:sz w:val="18"/>
                <w:szCs w:val="18"/>
              </w:rPr>
            </w:pPr>
          </w:p>
        </w:tc>
        <w:tc>
          <w:tcPr>
            <w:tcW w:w="1623" w:type="pct"/>
            <w:shd w:val="clear" w:color="auto" w:fill="auto"/>
            <w:vAlign w:val="center"/>
          </w:tcPr>
          <w:p w14:paraId="2239279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构造导水</w:t>
            </w:r>
          </w:p>
        </w:tc>
        <w:tc>
          <w:tcPr>
            <w:tcW w:w="513" w:type="pct"/>
            <w:shd w:val="clear" w:color="auto" w:fill="auto"/>
            <w:vAlign w:val="center"/>
          </w:tcPr>
          <w:p w14:paraId="05B0A7DF">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p>
        </w:tc>
        <w:tc>
          <w:tcPr>
            <w:tcW w:w="389" w:type="pct"/>
            <w:vMerge w:val="continue"/>
            <w:shd w:val="clear" w:color="auto" w:fill="auto"/>
            <w:vAlign w:val="center"/>
          </w:tcPr>
          <w:p w14:paraId="6524CB95">
            <w:pPr>
              <w:widowControl/>
              <w:jc w:val="left"/>
              <w:rPr>
                <w:rFonts w:hint="eastAsia" w:ascii="宋体" w:hAnsi="宋体" w:eastAsia="宋体"/>
                <w:color w:val="000000"/>
                <w:kern w:val="0"/>
                <w:sz w:val="18"/>
                <w:szCs w:val="18"/>
              </w:rPr>
            </w:pPr>
          </w:p>
        </w:tc>
      </w:tr>
      <w:tr w14:paraId="6DCD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2" w:type="pct"/>
            <w:vMerge w:val="continue"/>
            <w:shd w:val="clear" w:color="auto" w:fill="auto"/>
            <w:vAlign w:val="center"/>
          </w:tcPr>
          <w:p w14:paraId="3D6E9DF5">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57AE98B8">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6025A714">
            <w:pPr>
              <w:widowControl/>
              <w:jc w:val="left"/>
              <w:rPr>
                <w:rFonts w:hint="eastAsia" w:ascii="宋体" w:hAnsi="宋体" w:eastAsia="宋体"/>
                <w:color w:val="000000"/>
                <w:kern w:val="0"/>
                <w:sz w:val="18"/>
                <w:szCs w:val="18"/>
              </w:rPr>
            </w:pPr>
          </w:p>
        </w:tc>
        <w:tc>
          <w:tcPr>
            <w:tcW w:w="1623" w:type="pct"/>
            <w:shd w:val="clear" w:color="auto" w:fill="auto"/>
            <w:vAlign w:val="center"/>
          </w:tcPr>
          <w:p w14:paraId="1F879B1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大气降水</w:t>
            </w:r>
          </w:p>
        </w:tc>
        <w:tc>
          <w:tcPr>
            <w:tcW w:w="513" w:type="pct"/>
            <w:shd w:val="clear" w:color="auto" w:fill="auto"/>
            <w:vAlign w:val="center"/>
          </w:tcPr>
          <w:p w14:paraId="305649C7">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p>
        </w:tc>
        <w:tc>
          <w:tcPr>
            <w:tcW w:w="389" w:type="pct"/>
            <w:vMerge w:val="continue"/>
            <w:shd w:val="clear" w:color="auto" w:fill="auto"/>
            <w:vAlign w:val="center"/>
          </w:tcPr>
          <w:p w14:paraId="79593181">
            <w:pPr>
              <w:widowControl/>
              <w:jc w:val="left"/>
              <w:rPr>
                <w:rFonts w:hint="eastAsia" w:ascii="宋体" w:hAnsi="宋体" w:eastAsia="宋体"/>
                <w:color w:val="000000"/>
                <w:kern w:val="0"/>
                <w:sz w:val="18"/>
                <w:szCs w:val="18"/>
              </w:rPr>
            </w:pPr>
          </w:p>
        </w:tc>
      </w:tr>
      <w:tr w14:paraId="7755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2" w:type="pct"/>
            <w:vMerge w:val="continue"/>
            <w:shd w:val="clear" w:color="auto" w:fill="auto"/>
            <w:vAlign w:val="center"/>
          </w:tcPr>
          <w:p w14:paraId="6FE04C18">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0AD4323A">
            <w:pPr>
              <w:widowControl/>
              <w:jc w:val="left"/>
              <w:rPr>
                <w:rFonts w:hint="eastAsia" w:ascii="宋体" w:hAnsi="宋体" w:eastAsia="宋体"/>
                <w:color w:val="000000"/>
                <w:kern w:val="0"/>
                <w:sz w:val="18"/>
                <w:szCs w:val="18"/>
              </w:rPr>
            </w:pPr>
          </w:p>
        </w:tc>
        <w:tc>
          <w:tcPr>
            <w:tcW w:w="1390" w:type="pct"/>
            <w:gridSpan w:val="2"/>
            <w:vMerge w:val="restart"/>
            <w:shd w:val="clear" w:color="auto" w:fill="auto"/>
            <w:vAlign w:val="center"/>
          </w:tcPr>
          <w:p w14:paraId="09979824">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矿硐涌水类型</w:t>
            </w:r>
          </w:p>
        </w:tc>
        <w:tc>
          <w:tcPr>
            <w:tcW w:w="1623" w:type="pct"/>
            <w:shd w:val="clear" w:color="auto" w:fill="auto"/>
            <w:vAlign w:val="center"/>
          </w:tcPr>
          <w:p w14:paraId="17B451FB">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持续涌水</w:t>
            </w:r>
          </w:p>
        </w:tc>
        <w:tc>
          <w:tcPr>
            <w:tcW w:w="513" w:type="pct"/>
            <w:shd w:val="clear" w:color="auto" w:fill="auto"/>
            <w:vAlign w:val="center"/>
          </w:tcPr>
          <w:p w14:paraId="7BB9C6CC">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16</w:t>
            </w:r>
          </w:p>
        </w:tc>
        <w:tc>
          <w:tcPr>
            <w:tcW w:w="389" w:type="pct"/>
            <w:vMerge w:val="continue"/>
            <w:shd w:val="clear" w:color="auto" w:fill="auto"/>
            <w:vAlign w:val="center"/>
          </w:tcPr>
          <w:p w14:paraId="210C7E4A">
            <w:pPr>
              <w:widowControl/>
              <w:jc w:val="left"/>
              <w:rPr>
                <w:rFonts w:hint="eastAsia" w:ascii="宋体" w:hAnsi="宋体" w:eastAsia="宋体"/>
                <w:color w:val="000000"/>
                <w:kern w:val="0"/>
                <w:sz w:val="18"/>
                <w:szCs w:val="18"/>
              </w:rPr>
            </w:pPr>
          </w:p>
        </w:tc>
      </w:tr>
      <w:tr w14:paraId="0DFB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92" w:type="pct"/>
            <w:vMerge w:val="continue"/>
            <w:shd w:val="clear" w:color="auto" w:fill="auto"/>
            <w:vAlign w:val="center"/>
          </w:tcPr>
          <w:p w14:paraId="2DA330A4">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688DC7D6">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223848CA">
            <w:pPr>
              <w:widowControl/>
              <w:jc w:val="left"/>
              <w:rPr>
                <w:rFonts w:hint="eastAsia" w:ascii="宋体" w:hAnsi="宋体" w:eastAsia="宋体"/>
                <w:color w:val="000000"/>
                <w:kern w:val="0"/>
                <w:sz w:val="18"/>
                <w:szCs w:val="18"/>
              </w:rPr>
            </w:pPr>
          </w:p>
        </w:tc>
        <w:tc>
          <w:tcPr>
            <w:tcW w:w="1623" w:type="pct"/>
            <w:shd w:val="clear" w:color="auto" w:fill="auto"/>
            <w:vAlign w:val="center"/>
          </w:tcPr>
          <w:p w14:paraId="644D445F">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间歇性涌水</w:t>
            </w:r>
          </w:p>
        </w:tc>
        <w:tc>
          <w:tcPr>
            <w:tcW w:w="513" w:type="pct"/>
            <w:shd w:val="clear" w:color="auto" w:fill="auto"/>
            <w:vAlign w:val="center"/>
          </w:tcPr>
          <w:p w14:paraId="0344EC4C">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9" w:type="pct"/>
            <w:vMerge w:val="continue"/>
            <w:shd w:val="clear" w:color="auto" w:fill="auto"/>
            <w:vAlign w:val="center"/>
          </w:tcPr>
          <w:p w14:paraId="0629D5C9">
            <w:pPr>
              <w:widowControl/>
              <w:jc w:val="left"/>
              <w:rPr>
                <w:rFonts w:hint="eastAsia" w:ascii="宋体" w:hAnsi="宋体" w:eastAsia="宋体"/>
                <w:color w:val="000000"/>
                <w:kern w:val="0"/>
                <w:sz w:val="18"/>
                <w:szCs w:val="18"/>
              </w:rPr>
            </w:pPr>
          </w:p>
        </w:tc>
      </w:tr>
      <w:tr w14:paraId="09067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7AD38234">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1F36EEA7">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196E522A">
            <w:pPr>
              <w:widowControl/>
              <w:jc w:val="left"/>
              <w:rPr>
                <w:rFonts w:hint="eastAsia" w:ascii="宋体" w:hAnsi="宋体" w:eastAsia="宋体"/>
                <w:color w:val="000000"/>
                <w:kern w:val="0"/>
                <w:sz w:val="18"/>
                <w:szCs w:val="18"/>
              </w:rPr>
            </w:pPr>
          </w:p>
        </w:tc>
        <w:tc>
          <w:tcPr>
            <w:tcW w:w="1623" w:type="pct"/>
            <w:shd w:val="clear" w:color="auto" w:fill="auto"/>
            <w:vAlign w:val="center"/>
          </w:tcPr>
          <w:p w14:paraId="3852D266">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潮湿、偶有渗水</w:t>
            </w:r>
          </w:p>
        </w:tc>
        <w:tc>
          <w:tcPr>
            <w:tcW w:w="513" w:type="pct"/>
            <w:shd w:val="clear" w:color="auto" w:fill="auto"/>
            <w:noWrap/>
            <w:vAlign w:val="center"/>
          </w:tcPr>
          <w:p w14:paraId="5C5E7549">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6</w:t>
            </w:r>
          </w:p>
        </w:tc>
        <w:tc>
          <w:tcPr>
            <w:tcW w:w="389" w:type="pct"/>
            <w:vMerge w:val="continue"/>
            <w:shd w:val="clear" w:color="auto" w:fill="auto"/>
            <w:vAlign w:val="center"/>
          </w:tcPr>
          <w:p w14:paraId="2EC65061">
            <w:pPr>
              <w:widowControl/>
              <w:jc w:val="left"/>
              <w:rPr>
                <w:rFonts w:hint="eastAsia" w:ascii="宋体" w:hAnsi="宋体" w:eastAsia="宋体"/>
                <w:color w:val="000000"/>
                <w:kern w:val="0"/>
                <w:sz w:val="18"/>
                <w:szCs w:val="18"/>
              </w:rPr>
            </w:pPr>
          </w:p>
        </w:tc>
      </w:tr>
      <w:tr w14:paraId="663A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573A5AC8">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74B991FB">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0E223689">
            <w:pPr>
              <w:widowControl/>
              <w:jc w:val="left"/>
              <w:rPr>
                <w:rFonts w:hint="eastAsia" w:ascii="宋体" w:hAnsi="宋体" w:eastAsia="宋体"/>
                <w:color w:val="000000"/>
                <w:kern w:val="0"/>
                <w:sz w:val="18"/>
                <w:szCs w:val="18"/>
              </w:rPr>
            </w:pPr>
          </w:p>
        </w:tc>
        <w:tc>
          <w:tcPr>
            <w:tcW w:w="1623" w:type="pct"/>
            <w:shd w:val="clear" w:color="auto" w:fill="auto"/>
            <w:vAlign w:val="center"/>
          </w:tcPr>
          <w:p w14:paraId="5192CC0F">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干矿硐</w:t>
            </w:r>
          </w:p>
        </w:tc>
        <w:tc>
          <w:tcPr>
            <w:tcW w:w="513" w:type="pct"/>
            <w:shd w:val="clear" w:color="auto" w:fill="auto"/>
            <w:vAlign w:val="center"/>
          </w:tcPr>
          <w:p w14:paraId="07AB2E53">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p>
        </w:tc>
        <w:tc>
          <w:tcPr>
            <w:tcW w:w="389" w:type="pct"/>
            <w:vMerge w:val="continue"/>
            <w:shd w:val="clear" w:color="auto" w:fill="auto"/>
            <w:vAlign w:val="center"/>
          </w:tcPr>
          <w:p w14:paraId="4D1CD595">
            <w:pPr>
              <w:widowControl/>
              <w:jc w:val="left"/>
              <w:rPr>
                <w:rFonts w:hint="eastAsia" w:ascii="宋体" w:hAnsi="宋体" w:eastAsia="宋体"/>
                <w:color w:val="000000"/>
                <w:kern w:val="0"/>
                <w:sz w:val="18"/>
                <w:szCs w:val="18"/>
              </w:rPr>
            </w:pPr>
          </w:p>
        </w:tc>
      </w:tr>
      <w:tr w14:paraId="5674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6F6BF330">
            <w:pPr>
              <w:widowControl/>
              <w:jc w:val="left"/>
              <w:rPr>
                <w:rFonts w:hint="eastAsia" w:ascii="宋体" w:hAnsi="宋体" w:eastAsia="宋体"/>
                <w:color w:val="000000"/>
                <w:kern w:val="0"/>
                <w:sz w:val="18"/>
                <w:szCs w:val="18"/>
              </w:rPr>
            </w:pPr>
          </w:p>
        </w:tc>
        <w:tc>
          <w:tcPr>
            <w:tcW w:w="393" w:type="pct"/>
            <w:vMerge w:val="restart"/>
            <w:shd w:val="clear" w:color="auto" w:fill="auto"/>
            <w:vAlign w:val="center"/>
          </w:tcPr>
          <w:p w14:paraId="1B5D58C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规模</w:t>
            </w:r>
          </w:p>
        </w:tc>
        <w:tc>
          <w:tcPr>
            <w:tcW w:w="1390" w:type="pct"/>
            <w:gridSpan w:val="2"/>
            <w:vMerge w:val="restart"/>
            <w:shd w:val="clear" w:color="auto" w:fill="auto"/>
            <w:vAlign w:val="center"/>
          </w:tcPr>
          <w:p w14:paraId="6724545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矿硐日涌水量（</w:t>
            </w:r>
            <w:r>
              <w:rPr>
                <w:rFonts w:ascii="宋体" w:hAnsi="宋体" w:eastAsia="宋体"/>
                <w:color w:val="000000"/>
                <w:kern w:val="0"/>
                <w:sz w:val="18"/>
                <w:szCs w:val="18"/>
              </w:rPr>
              <w:t>m</w:t>
            </w:r>
            <w:r>
              <w:rPr>
                <w:rFonts w:ascii="宋体" w:hAnsi="宋体" w:eastAsia="宋体"/>
                <w:color w:val="000000"/>
                <w:kern w:val="0"/>
                <w:sz w:val="18"/>
                <w:szCs w:val="18"/>
                <w:vertAlign w:val="superscript"/>
              </w:rPr>
              <w:t>3</w:t>
            </w:r>
            <w:r>
              <w:rPr>
                <w:rFonts w:hint="eastAsia" w:ascii="宋体" w:hAnsi="宋体" w:eastAsia="宋体"/>
                <w:color w:val="000000"/>
                <w:kern w:val="0"/>
                <w:sz w:val="18"/>
                <w:szCs w:val="18"/>
              </w:rPr>
              <w:t>/d)</w:t>
            </w:r>
          </w:p>
        </w:tc>
        <w:tc>
          <w:tcPr>
            <w:tcW w:w="1623" w:type="pct"/>
            <w:shd w:val="clear" w:color="auto" w:fill="auto"/>
            <w:vAlign w:val="center"/>
          </w:tcPr>
          <w:p w14:paraId="77C54DD9">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300</w:t>
            </w:r>
          </w:p>
        </w:tc>
        <w:tc>
          <w:tcPr>
            <w:tcW w:w="513" w:type="pct"/>
            <w:shd w:val="clear" w:color="auto" w:fill="auto"/>
            <w:vAlign w:val="center"/>
          </w:tcPr>
          <w:p w14:paraId="67486468">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24</w:t>
            </w:r>
          </w:p>
        </w:tc>
        <w:tc>
          <w:tcPr>
            <w:tcW w:w="389" w:type="pct"/>
            <w:vMerge w:val="restart"/>
            <w:shd w:val="clear" w:color="auto" w:fill="auto"/>
            <w:vAlign w:val="center"/>
          </w:tcPr>
          <w:p w14:paraId="5F40DD3F">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24</w:t>
            </w:r>
          </w:p>
        </w:tc>
      </w:tr>
      <w:tr w14:paraId="4A35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92" w:type="pct"/>
            <w:vMerge w:val="continue"/>
            <w:shd w:val="clear" w:color="auto" w:fill="auto"/>
            <w:vAlign w:val="center"/>
          </w:tcPr>
          <w:p w14:paraId="50CCFE52">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63456B0D">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7928B4B3">
            <w:pPr>
              <w:widowControl/>
              <w:jc w:val="left"/>
              <w:rPr>
                <w:rFonts w:hint="eastAsia" w:ascii="宋体" w:hAnsi="宋体" w:eastAsia="宋体"/>
                <w:color w:val="000000"/>
                <w:kern w:val="0"/>
                <w:sz w:val="18"/>
                <w:szCs w:val="18"/>
              </w:rPr>
            </w:pPr>
          </w:p>
        </w:tc>
        <w:tc>
          <w:tcPr>
            <w:tcW w:w="1623" w:type="pct"/>
            <w:shd w:val="clear" w:color="auto" w:fill="auto"/>
          </w:tcPr>
          <w:p w14:paraId="29A93535">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(100</w:t>
            </w:r>
            <w:r>
              <w:rPr>
                <w:rFonts w:hint="eastAsia" w:ascii="宋体" w:hAnsi="宋体" w:eastAsia="宋体"/>
                <w:color w:val="000000"/>
                <w:kern w:val="0"/>
                <w:sz w:val="18"/>
                <w:szCs w:val="18"/>
              </w:rPr>
              <w:t>，</w:t>
            </w:r>
            <w:r>
              <w:rPr>
                <w:rFonts w:ascii="宋体" w:hAnsi="宋体" w:eastAsia="宋体"/>
                <w:color w:val="000000"/>
                <w:kern w:val="0"/>
                <w:sz w:val="18"/>
                <w:szCs w:val="18"/>
              </w:rPr>
              <w:t>300]</w:t>
            </w:r>
          </w:p>
        </w:tc>
        <w:tc>
          <w:tcPr>
            <w:tcW w:w="513" w:type="pct"/>
            <w:shd w:val="clear" w:color="auto" w:fill="auto"/>
            <w:vAlign w:val="center"/>
          </w:tcPr>
          <w:p w14:paraId="5B6B0799">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18</w:t>
            </w:r>
          </w:p>
        </w:tc>
        <w:tc>
          <w:tcPr>
            <w:tcW w:w="389" w:type="pct"/>
            <w:vMerge w:val="continue"/>
            <w:shd w:val="clear" w:color="auto" w:fill="auto"/>
            <w:vAlign w:val="center"/>
          </w:tcPr>
          <w:p w14:paraId="340F4E27">
            <w:pPr>
              <w:widowControl/>
              <w:jc w:val="left"/>
              <w:rPr>
                <w:rFonts w:hint="eastAsia" w:ascii="宋体" w:hAnsi="宋体" w:eastAsia="宋体"/>
                <w:color w:val="000000"/>
                <w:kern w:val="0"/>
                <w:sz w:val="18"/>
                <w:szCs w:val="18"/>
              </w:rPr>
            </w:pPr>
          </w:p>
        </w:tc>
      </w:tr>
      <w:tr w14:paraId="565B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92" w:type="pct"/>
            <w:vMerge w:val="continue"/>
            <w:shd w:val="clear" w:color="auto" w:fill="auto"/>
            <w:vAlign w:val="center"/>
          </w:tcPr>
          <w:p w14:paraId="129C6BE8">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15E45C28">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74B018D6">
            <w:pPr>
              <w:widowControl/>
              <w:jc w:val="left"/>
              <w:rPr>
                <w:rFonts w:hint="eastAsia" w:ascii="宋体" w:hAnsi="宋体" w:eastAsia="宋体"/>
                <w:color w:val="000000"/>
                <w:kern w:val="0"/>
                <w:sz w:val="18"/>
                <w:szCs w:val="18"/>
              </w:rPr>
            </w:pPr>
          </w:p>
        </w:tc>
        <w:tc>
          <w:tcPr>
            <w:tcW w:w="1623" w:type="pct"/>
            <w:shd w:val="clear" w:color="auto" w:fill="auto"/>
          </w:tcPr>
          <w:p w14:paraId="22B5AD53">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r>
              <w:rPr>
                <w:rFonts w:hint="eastAsia" w:ascii="宋体" w:hAnsi="宋体" w:eastAsia="宋体"/>
                <w:color w:val="000000"/>
                <w:kern w:val="0"/>
                <w:sz w:val="18"/>
                <w:szCs w:val="18"/>
              </w:rPr>
              <w:t>，</w:t>
            </w:r>
            <w:r>
              <w:rPr>
                <w:rFonts w:ascii="宋体" w:hAnsi="宋体" w:eastAsia="宋体"/>
                <w:color w:val="000000"/>
                <w:kern w:val="0"/>
                <w:sz w:val="18"/>
                <w:szCs w:val="18"/>
              </w:rPr>
              <w:t>100]</w:t>
            </w:r>
          </w:p>
        </w:tc>
        <w:tc>
          <w:tcPr>
            <w:tcW w:w="513" w:type="pct"/>
            <w:shd w:val="clear" w:color="auto" w:fill="auto"/>
            <w:vAlign w:val="center"/>
          </w:tcPr>
          <w:p w14:paraId="2EC70C11">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9" w:type="pct"/>
            <w:vMerge w:val="continue"/>
            <w:shd w:val="clear" w:color="auto" w:fill="auto"/>
            <w:vAlign w:val="center"/>
          </w:tcPr>
          <w:p w14:paraId="2526A385">
            <w:pPr>
              <w:widowControl/>
              <w:jc w:val="left"/>
              <w:rPr>
                <w:rFonts w:hint="eastAsia" w:ascii="宋体" w:hAnsi="宋体" w:eastAsia="宋体"/>
                <w:color w:val="000000"/>
                <w:kern w:val="0"/>
                <w:sz w:val="18"/>
                <w:szCs w:val="18"/>
              </w:rPr>
            </w:pPr>
          </w:p>
        </w:tc>
      </w:tr>
      <w:tr w14:paraId="32D0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92" w:type="pct"/>
            <w:vMerge w:val="continue"/>
            <w:shd w:val="clear" w:color="auto" w:fill="auto"/>
            <w:vAlign w:val="center"/>
          </w:tcPr>
          <w:p w14:paraId="21897C84">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327AA327">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25D1E8C9">
            <w:pPr>
              <w:widowControl/>
              <w:jc w:val="left"/>
              <w:rPr>
                <w:rFonts w:hint="eastAsia" w:ascii="宋体" w:hAnsi="宋体" w:eastAsia="宋体"/>
                <w:color w:val="000000"/>
                <w:kern w:val="0"/>
                <w:sz w:val="18"/>
                <w:szCs w:val="18"/>
              </w:rPr>
            </w:pPr>
          </w:p>
        </w:tc>
        <w:tc>
          <w:tcPr>
            <w:tcW w:w="1623" w:type="pct"/>
            <w:shd w:val="clear" w:color="auto" w:fill="auto"/>
            <w:vAlign w:val="center"/>
          </w:tcPr>
          <w:p w14:paraId="00DC23CA">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w:t>
            </w:r>
            <w:r>
              <w:rPr>
                <w:rFonts w:hint="eastAsia" w:ascii="宋体" w:hAnsi="宋体" w:eastAsia="宋体"/>
                <w:color w:val="000000"/>
                <w:kern w:val="0"/>
                <w:sz w:val="18"/>
                <w:szCs w:val="18"/>
              </w:rPr>
              <w:t>，</w:t>
            </w:r>
            <w:r>
              <w:rPr>
                <w:rFonts w:ascii="宋体" w:hAnsi="宋体" w:eastAsia="宋体"/>
                <w:color w:val="000000"/>
                <w:kern w:val="0"/>
                <w:sz w:val="18"/>
                <w:szCs w:val="18"/>
              </w:rPr>
              <w:t>10]</w:t>
            </w:r>
          </w:p>
        </w:tc>
        <w:tc>
          <w:tcPr>
            <w:tcW w:w="513" w:type="pct"/>
            <w:shd w:val="clear" w:color="auto" w:fill="auto"/>
            <w:vAlign w:val="center"/>
          </w:tcPr>
          <w:p w14:paraId="1855BBC6">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6</w:t>
            </w:r>
          </w:p>
        </w:tc>
        <w:tc>
          <w:tcPr>
            <w:tcW w:w="389" w:type="pct"/>
            <w:vMerge w:val="continue"/>
            <w:shd w:val="clear" w:color="auto" w:fill="auto"/>
            <w:vAlign w:val="center"/>
          </w:tcPr>
          <w:p w14:paraId="2C116809">
            <w:pPr>
              <w:widowControl/>
              <w:jc w:val="left"/>
              <w:rPr>
                <w:rFonts w:hint="eastAsia" w:ascii="宋体" w:hAnsi="宋体" w:eastAsia="宋体"/>
                <w:color w:val="000000"/>
                <w:kern w:val="0"/>
                <w:sz w:val="18"/>
                <w:szCs w:val="18"/>
              </w:rPr>
            </w:pPr>
          </w:p>
        </w:tc>
      </w:tr>
      <w:tr w14:paraId="28E4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92" w:type="pct"/>
            <w:vMerge w:val="continue"/>
            <w:shd w:val="clear" w:color="auto" w:fill="auto"/>
            <w:vAlign w:val="center"/>
          </w:tcPr>
          <w:p w14:paraId="11B0974A">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3EA8A732">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6722F8EC">
            <w:pPr>
              <w:widowControl/>
              <w:jc w:val="left"/>
              <w:rPr>
                <w:rFonts w:hint="eastAsia" w:ascii="宋体" w:hAnsi="宋体" w:eastAsia="宋体"/>
                <w:color w:val="000000"/>
                <w:kern w:val="0"/>
                <w:sz w:val="18"/>
                <w:szCs w:val="18"/>
              </w:rPr>
            </w:pPr>
          </w:p>
        </w:tc>
        <w:tc>
          <w:tcPr>
            <w:tcW w:w="1623" w:type="pct"/>
            <w:shd w:val="clear" w:color="auto" w:fill="auto"/>
            <w:vAlign w:val="center"/>
          </w:tcPr>
          <w:p w14:paraId="43B47078">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1</w:t>
            </w:r>
          </w:p>
        </w:tc>
        <w:tc>
          <w:tcPr>
            <w:tcW w:w="513" w:type="pct"/>
            <w:shd w:val="clear" w:color="auto" w:fill="auto"/>
            <w:vAlign w:val="center"/>
          </w:tcPr>
          <w:p w14:paraId="7C4B734C">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3</w:t>
            </w:r>
          </w:p>
        </w:tc>
        <w:tc>
          <w:tcPr>
            <w:tcW w:w="389" w:type="pct"/>
            <w:vMerge w:val="continue"/>
            <w:shd w:val="clear" w:color="auto" w:fill="auto"/>
            <w:vAlign w:val="center"/>
          </w:tcPr>
          <w:p w14:paraId="7593244A">
            <w:pPr>
              <w:widowControl/>
              <w:jc w:val="left"/>
              <w:rPr>
                <w:rFonts w:hint="eastAsia" w:ascii="宋体" w:hAnsi="宋体" w:eastAsia="宋体"/>
                <w:color w:val="000000"/>
                <w:kern w:val="0"/>
                <w:sz w:val="18"/>
                <w:szCs w:val="18"/>
              </w:rPr>
            </w:pPr>
          </w:p>
        </w:tc>
      </w:tr>
      <w:tr w14:paraId="518AD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543EBDC6">
            <w:pPr>
              <w:widowControl/>
              <w:jc w:val="left"/>
              <w:rPr>
                <w:rFonts w:hint="eastAsia" w:ascii="宋体" w:hAnsi="宋体" w:eastAsia="宋体"/>
                <w:color w:val="000000"/>
                <w:kern w:val="0"/>
                <w:sz w:val="18"/>
                <w:szCs w:val="18"/>
              </w:rPr>
            </w:pPr>
          </w:p>
        </w:tc>
        <w:tc>
          <w:tcPr>
            <w:tcW w:w="393" w:type="pct"/>
            <w:vMerge w:val="restart"/>
            <w:shd w:val="clear" w:color="auto" w:fill="auto"/>
            <w:vAlign w:val="center"/>
          </w:tcPr>
          <w:p w14:paraId="06032FE6">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性质</w:t>
            </w:r>
          </w:p>
        </w:tc>
        <w:tc>
          <w:tcPr>
            <w:tcW w:w="1390" w:type="pct"/>
            <w:gridSpan w:val="2"/>
            <w:vMerge w:val="restart"/>
            <w:shd w:val="clear" w:color="auto" w:fill="auto"/>
            <w:vAlign w:val="center"/>
          </w:tcPr>
          <w:p w14:paraId="43512B4C">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矿硐涌水</w:t>
            </w:r>
            <w:r>
              <w:rPr>
                <w:rFonts w:ascii="宋体" w:hAnsi="宋体" w:eastAsia="宋体"/>
                <w:color w:val="000000"/>
                <w:kern w:val="0"/>
                <w:sz w:val="18"/>
                <w:szCs w:val="18"/>
              </w:rPr>
              <w:t>pH</w:t>
            </w:r>
          </w:p>
        </w:tc>
        <w:tc>
          <w:tcPr>
            <w:tcW w:w="1623" w:type="pct"/>
            <w:shd w:val="clear" w:color="auto" w:fill="auto"/>
            <w:vAlign w:val="center"/>
          </w:tcPr>
          <w:p w14:paraId="1BF6EAE9">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 xml:space="preserve"> [0</w:t>
            </w:r>
            <w:r>
              <w:rPr>
                <w:rFonts w:hint="eastAsia" w:ascii="宋体" w:hAnsi="宋体" w:eastAsia="宋体"/>
                <w:color w:val="000000"/>
                <w:kern w:val="0"/>
                <w:sz w:val="18"/>
                <w:szCs w:val="18"/>
              </w:rPr>
              <w:t>，</w:t>
            </w:r>
            <w:r>
              <w:rPr>
                <w:rFonts w:ascii="宋体" w:hAnsi="宋体" w:eastAsia="宋体"/>
                <w:color w:val="000000"/>
                <w:kern w:val="0"/>
                <w:sz w:val="18"/>
                <w:szCs w:val="18"/>
              </w:rPr>
              <w:t>2</w:t>
            </w:r>
            <w:r>
              <w:rPr>
                <w:rFonts w:hint="eastAsia" w:ascii="宋体" w:hAnsi="宋体" w:eastAsia="宋体"/>
                <w:color w:val="000000"/>
                <w:kern w:val="0"/>
                <w:sz w:val="18"/>
                <w:szCs w:val="18"/>
              </w:rPr>
              <w:t>）</w:t>
            </w:r>
          </w:p>
        </w:tc>
        <w:tc>
          <w:tcPr>
            <w:tcW w:w="513" w:type="pct"/>
            <w:shd w:val="clear" w:color="auto" w:fill="auto"/>
            <w:vAlign w:val="center"/>
          </w:tcPr>
          <w:p w14:paraId="6A9EC07D">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15</w:t>
            </w:r>
          </w:p>
        </w:tc>
        <w:tc>
          <w:tcPr>
            <w:tcW w:w="389" w:type="pct"/>
            <w:vMerge w:val="restart"/>
            <w:shd w:val="clear" w:color="auto" w:fill="auto"/>
            <w:vAlign w:val="center"/>
          </w:tcPr>
          <w:p w14:paraId="674B5F10">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45</w:t>
            </w:r>
          </w:p>
        </w:tc>
      </w:tr>
      <w:tr w14:paraId="3D69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56B2EBCD">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290CF06A">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706FDD49">
            <w:pPr>
              <w:widowControl/>
              <w:jc w:val="left"/>
              <w:rPr>
                <w:rFonts w:hint="eastAsia" w:ascii="宋体" w:hAnsi="宋体" w:eastAsia="宋体"/>
                <w:color w:val="000000"/>
                <w:kern w:val="0"/>
                <w:sz w:val="18"/>
                <w:szCs w:val="18"/>
              </w:rPr>
            </w:pPr>
          </w:p>
        </w:tc>
        <w:tc>
          <w:tcPr>
            <w:tcW w:w="1623" w:type="pct"/>
            <w:shd w:val="clear" w:color="auto" w:fill="auto"/>
            <w:vAlign w:val="center"/>
          </w:tcPr>
          <w:p w14:paraId="0E891E00">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 xml:space="preserve"> [2</w:t>
            </w:r>
            <w:r>
              <w:rPr>
                <w:rFonts w:hint="eastAsia" w:ascii="宋体" w:hAnsi="宋体" w:eastAsia="宋体"/>
                <w:color w:val="000000"/>
                <w:kern w:val="0"/>
                <w:sz w:val="18"/>
                <w:szCs w:val="18"/>
              </w:rPr>
              <w:t>，</w:t>
            </w:r>
            <w:r>
              <w:rPr>
                <w:rFonts w:ascii="宋体" w:hAnsi="宋体" w:eastAsia="宋体"/>
                <w:color w:val="000000"/>
                <w:kern w:val="0"/>
                <w:sz w:val="18"/>
                <w:szCs w:val="18"/>
              </w:rPr>
              <w:t>6</w:t>
            </w:r>
            <w:r>
              <w:rPr>
                <w:rFonts w:hint="eastAsia" w:ascii="宋体" w:hAnsi="宋体" w:eastAsia="宋体"/>
                <w:color w:val="000000"/>
                <w:kern w:val="0"/>
                <w:sz w:val="18"/>
                <w:szCs w:val="18"/>
              </w:rPr>
              <w:t>）</w:t>
            </w:r>
          </w:p>
        </w:tc>
        <w:tc>
          <w:tcPr>
            <w:tcW w:w="513" w:type="pct"/>
            <w:shd w:val="clear" w:color="auto" w:fill="auto"/>
            <w:vAlign w:val="center"/>
          </w:tcPr>
          <w:p w14:paraId="3D50AFCE">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9" w:type="pct"/>
            <w:vMerge w:val="continue"/>
            <w:shd w:val="clear" w:color="auto" w:fill="auto"/>
            <w:vAlign w:val="center"/>
          </w:tcPr>
          <w:p w14:paraId="5B754874">
            <w:pPr>
              <w:widowControl/>
              <w:jc w:val="left"/>
              <w:rPr>
                <w:rFonts w:hint="eastAsia" w:ascii="宋体" w:hAnsi="宋体" w:eastAsia="宋体"/>
                <w:color w:val="000000"/>
                <w:kern w:val="0"/>
                <w:sz w:val="18"/>
                <w:szCs w:val="18"/>
              </w:rPr>
            </w:pPr>
          </w:p>
        </w:tc>
      </w:tr>
      <w:tr w14:paraId="1533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92" w:type="pct"/>
            <w:vMerge w:val="continue"/>
            <w:shd w:val="clear" w:color="auto" w:fill="auto"/>
            <w:vAlign w:val="center"/>
          </w:tcPr>
          <w:p w14:paraId="0F0AE769">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305C6543">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63A58511">
            <w:pPr>
              <w:widowControl/>
              <w:jc w:val="left"/>
              <w:rPr>
                <w:rFonts w:hint="eastAsia" w:ascii="宋体" w:hAnsi="宋体" w:eastAsia="宋体"/>
                <w:color w:val="000000"/>
                <w:kern w:val="0"/>
                <w:sz w:val="18"/>
                <w:szCs w:val="18"/>
              </w:rPr>
            </w:pPr>
          </w:p>
        </w:tc>
        <w:tc>
          <w:tcPr>
            <w:tcW w:w="1623" w:type="pct"/>
            <w:shd w:val="clear" w:color="auto" w:fill="auto"/>
            <w:vAlign w:val="center"/>
          </w:tcPr>
          <w:p w14:paraId="5FEED330">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 xml:space="preserve"> [6</w:t>
            </w:r>
            <w:r>
              <w:rPr>
                <w:rFonts w:hint="eastAsia" w:ascii="宋体" w:hAnsi="宋体" w:eastAsia="宋体"/>
                <w:color w:val="000000"/>
                <w:kern w:val="0"/>
                <w:sz w:val="18"/>
                <w:szCs w:val="18"/>
              </w:rPr>
              <w:t>，</w:t>
            </w:r>
            <w:r>
              <w:rPr>
                <w:rFonts w:ascii="宋体" w:hAnsi="宋体" w:eastAsia="宋体"/>
                <w:color w:val="000000"/>
                <w:kern w:val="0"/>
                <w:sz w:val="18"/>
                <w:szCs w:val="18"/>
              </w:rPr>
              <w:t>9]</w:t>
            </w:r>
          </w:p>
        </w:tc>
        <w:tc>
          <w:tcPr>
            <w:tcW w:w="513" w:type="pct"/>
            <w:shd w:val="clear" w:color="auto" w:fill="auto"/>
            <w:vAlign w:val="center"/>
          </w:tcPr>
          <w:p w14:paraId="6828B57F">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p>
        </w:tc>
        <w:tc>
          <w:tcPr>
            <w:tcW w:w="389" w:type="pct"/>
            <w:vMerge w:val="continue"/>
            <w:shd w:val="clear" w:color="auto" w:fill="auto"/>
            <w:vAlign w:val="center"/>
          </w:tcPr>
          <w:p w14:paraId="7CC7B9E7">
            <w:pPr>
              <w:widowControl/>
              <w:jc w:val="left"/>
              <w:rPr>
                <w:rFonts w:hint="eastAsia" w:ascii="宋体" w:hAnsi="宋体" w:eastAsia="宋体"/>
                <w:color w:val="000000"/>
                <w:kern w:val="0"/>
                <w:sz w:val="18"/>
                <w:szCs w:val="18"/>
              </w:rPr>
            </w:pPr>
          </w:p>
        </w:tc>
      </w:tr>
      <w:tr w14:paraId="7451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7C96A7B4">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3AAC9888">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0A6461DE">
            <w:pPr>
              <w:widowControl/>
              <w:jc w:val="left"/>
              <w:rPr>
                <w:rFonts w:hint="eastAsia" w:ascii="宋体" w:hAnsi="宋体" w:eastAsia="宋体"/>
                <w:color w:val="000000"/>
                <w:kern w:val="0"/>
                <w:sz w:val="18"/>
                <w:szCs w:val="18"/>
              </w:rPr>
            </w:pPr>
          </w:p>
        </w:tc>
        <w:tc>
          <w:tcPr>
            <w:tcW w:w="1623" w:type="pct"/>
            <w:shd w:val="clear" w:color="auto" w:fill="auto"/>
            <w:vAlign w:val="center"/>
          </w:tcPr>
          <w:p w14:paraId="480B2790">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9</w:t>
            </w:r>
            <w:r>
              <w:rPr>
                <w:rFonts w:hint="eastAsia" w:ascii="宋体" w:hAnsi="宋体" w:eastAsia="宋体"/>
                <w:color w:val="000000"/>
                <w:kern w:val="0"/>
                <w:sz w:val="18"/>
                <w:szCs w:val="18"/>
              </w:rPr>
              <w:t>，</w:t>
            </w:r>
            <w:r>
              <w:rPr>
                <w:rFonts w:ascii="宋体" w:hAnsi="宋体" w:eastAsia="宋体"/>
                <w:color w:val="000000"/>
                <w:kern w:val="0"/>
                <w:sz w:val="18"/>
                <w:szCs w:val="18"/>
              </w:rPr>
              <w:t>12.5]</w:t>
            </w:r>
          </w:p>
        </w:tc>
        <w:tc>
          <w:tcPr>
            <w:tcW w:w="513" w:type="pct"/>
            <w:shd w:val="clear" w:color="auto" w:fill="auto"/>
            <w:vAlign w:val="center"/>
          </w:tcPr>
          <w:p w14:paraId="6EF995B4">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8</w:t>
            </w:r>
          </w:p>
        </w:tc>
        <w:tc>
          <w:tcPr>
            <w:tcW w:w="389" w:type="pct"/>
            <w:vMerge w:val="continue"/>
            <w:shd w:val="clear" w:color="auto" w:fill="auto"/>
            <w:vAlign w:val="center"/>
          </w:tcPr>
          <w:p w14:paraId="77F104C9">
            <w:pPr>
              <w:widowControl/>
              <w:jc w:val="left"/>
              <w:rPr>
                <w:rFonts w:hint="eastAsia" w:ascii="宋体" w:hAnsi="宋体" w:eastAsia="宋体"/>
                <w:color w:val="000000"/>
                <w:kern w:val="0"/>
                <w:sz w:val="18"/>
                <w:szCs w:val="18"/>
              </w:rPr>
            </w:pPr>
          </w:p>
        </w:tc>
      </w:tr>
      <w:tr w14:paraId="0A77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7822481B">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56353582">
            <w:pPr>
              <w:widowControl/>
              <w:jc w:val="left"/>
              <w:rPr>
                <w:rFonts w:hint="eastAsia" w:ascii="宋体" w:hAnsi="宋体" w:eastAsia="宋体"/>
                <w:color w:val="000000"/>
                <w:kern w:val="0"/>
                <w:sz w:val="18"/>
                <w:szCs w:val="18"/>
              </w:rPr>
            </w:pPr>
          </w:p>
        </w:tc>
        <w:tc>
          <w:tcPr>
            <w:tcW w:w="1390" w:type="pct"/>
            <w:gridSpan w:val="2"/>
            <w:vMerge w:val="continue"/>
            <w:shd w:val="clear" w:color="auto" w:fill="auto"/>
            <w:vAlign w:val="center"/>
          </w:tcPr>
          <w:p w14:paraId="5252A640">
            <w:pPr>
              <w:widowControl/>
              <w:jc w:val="left"/>
              <w:rPr>
                <w:rFonts w:hint="eastAsia" w:ascii="宋体" w:hAnsi="宋体" w:eastAsia="宋体"/>
                <w:color w:val="000000"/>
                <w:kern w:val="0"/>
                <w:sz w:val="18"/>
                <w:szCs w:val="18"/>
              </w:rPr>
            </w:pPr>
          </w:p>
        </w:tc>
        <w:tc>
          <w:tcPr>
            <w:tcW w:w="1623" w:type="pct"/>
            <w:shd w:val="clear" w:color="auto" w:fill="auto"/>
            <w:vAlign w:val="center"/>
          </w:tcPr>
          <w:p w14:paraId="47C0BFEA">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w:t>
            </w:r>
            <w:r>
              <w:rPr>
                <w:rFonts w:ascii="宋体" w:hAnsi="宋体" w:eastAsia="宋体"/>
                <w:color w:val="000000"/>
                <w:kern w:val="0"/>
                <w:sz w:val="18"/>
                <w:szCs w:val="18"/>
              </w:rPr>
              <w:t>12.5</w:t>
            </w:r>
            <w:r>
              <w:rPr>
                <w:rFonts w:hint="eastAsia" w:ascii="宋体" w:hAnsi="宋体" w:eastAsia="宋体"/>
                <w:color w:val="000000"/>
                <w:kern w:val="0"/>
                <w:sz w:val="18"/>
                <w:szCs w:val="18"/>
              </w:rPr>
              <w:t>，</w:t>
            </w:r>
            <w:r>
              <w:rPr>
                <w:rFonts w:ascii="宋体" w:hAnsi="宋体" w:eastAsia="宋体"/>
                <w:color w:val="000000"/>
                <w:kern w:val="0"/>
                <w:sz w:val="18"/>
                <w:szCs w:val="18"/>
              </w:rPr>
              <w:t>14]</w:t>
            </w:r>
          </w:p>
        </w:tc>
        <w:tc>
          <w:tcPr>
            <w:tcW w:w="513" w:type="pct"/>
            <w:shd w:val="clear" w:color="auto" w:fill="auto"/>
            <w:vAlign w:val="center"/>
          </w:tcPr>
          <w:p w14:paraId="488F459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12</w:t>
            </w:r>
          </w:p>
        </w:tc>
        <w:tc>
          <w:tcPr>
            <w:tcW w:w="389" w:type="pct"/>
            <w:vMerge w:val="continue"/>
            <w:shd w:val="clear" w:color="auto" w:fill="auto"/>
            <w:vAlign w:val="center"/>
          </w:tcPr>
          <w:p w14:paraId="3B6E1DBB">
            <w:pPr>
              <w:widowControl/>
              <w:jc w:val="left"/>
              <w:rPr>
                <w:rFonts w:hint="eastAsia" w:ascii="宋体" w:hAnsi="宋体" w:eastAsia="宋体"/>
                <w:color w:val="000000"/>
                <w:kern w:val="0"/>
                <w:sz w:val="18"/>
                <w:szCs w:val="18"/>
              </w:rPr>
            </w:pPr>
          </w:p>
        </w:tc>
      </w:tr>
      <w:tr w14:paraId="2619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92" w:type="pct"/>
            <w:vMerge w:val="continue"/>
            <w:shd w:val="clear" w:color="auto" w:fill="auto"/>
            <w:vAlign w:val="center"/>
          </w:tcPr>
          <w:p w14:paraId="20DBD289">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2C28A145">
            <w:pPr>
              <w:widowControl/>
              <w:jc w:val="left"/>
              <w:rPr>
                <w:rFonts w:hint="eastAsia" w:ascii="宋体" w:hAnsi="宋体" w:eastAsia="宋体"/>
                <w:color w:val="000000"/>
                <w:kern w:val="0"/>
                <w:sz w:val="18"/>
                <w:szCs w:val="18"/>
              </w:rPr>
            </w:pPr>
          </w:p>
        </w:tc>
        <w:tc>
          <w:tcPr>
            <w:tcW w:w="717" w:type="pct"/>
            <w:vMerge w:val="restart"/>
            <w:shd w:val="clear" w:color="auto" w:fill="auto"/>
            <w:vAlign w:val="center"/>
          </w:tcPr>
          <w:p w14:paraId="2DBFA331">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特征污染物指标浓度情况</w:t>
            </w:r>
          </w:p>
        </w:tc>
        <w:tc>
          <w:tcPr>
            <w:tcW w:w="673" w:type="pct"/>
            <w:vMerge w:val="restart"/>
            <w:shd w:val="clear" w:color="auto" w:fill="auto"/>
            <w:vAlign w:val="center"/>
          </w:tcPr>
          <w:p w14:paraId="2BE46173">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指标最高浓度倍数</w:t>
            </w:r>
          </w:p>
        </w:tc>
        <w:tc>
          <w:tcPr>
            <w:tcW w:w="1623" w:type="pct"/>
            <w:shd w:val="clear" w:color="auto" w:fill="auto"/>
            <w:vAlign w:val="center"/>
          </w:tcPr>
          <w:p w14:paraId="737B39AA">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有指标浓度倍数为</w:t>
            </w:r>
            <w:r>
              <w:rPr>
                <w:rFonts w:ascii="宋体" w:hAnsi="宋体" w:eastAsia="宋体"/>
                <w:color w:val="000000"/>
                <w:kern w:val="0"/>
                <w:sz w:val="18"/>
                <w:szCs w:val="18"/>
              </w:rPr>
              <w:t>10</w:t>
            </w:r>
            <w:r>
              <w:rPr>
                <w:rFonts w:hint="eastAsia" w:ascii="宋体" w:hAnsi="宋体" w:eastAsia="宋体"/>
                <w:color w:val="000000"/>
                <w:kern w:val="0"/>
                <w:sz w:val="18"/>
                <w:szCs w:val="18"/>
              </w:rPr>
              <w:t>倍及以上</w:t>
            </w:r>
          </w:p>
        </w:tc>
        <w:tc>
          <w:tcPr>
            <w:tcW w:w="513" w:type="pct"/>
            <w:shd w:val="clear" w:color="auto" w:fill="auto"/>
            <w:vAlign w:val="center"/>
          </w:tcPr>
          <w:p w14:paraId="59601422">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15</w:t>
            </w:r>
          </w:p>
        </w:tc>
        <w:tc>
          <w:tcPr>
            <w:tcW w:w="389" w:type="pct"/>
            <w:vMerge w:val="continue"/>
            <w:shd w:val="clear" w:color="auto" w:fill="auto"/>
            <w:vAlign w:val="center"/>
          </w:tcPr>
          <w:p w14:paraId="55F15369">
            <w:pPr>
              <w:widowControl/>
              <w:jc w:val="left"/>
              <w:rPr>
                <w:rFonts w:hint="eastAsia" w:ascii="宋体" w:hAnsi="宋体" w:eastAsia="宋体"/>
                <w:color w:val="000000"/>
                <w:kern w:val="0"/>
                <w:sz w:val="18"/>
                <w:szCs w:val="18"/>
              </w:rPr>
            </w:pPr>
          </w:p>
        </w:tc>
      </w:tr>
      <w:tr w14:paraId="6668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692" w:type="pct"/>
            <w:vMerge w:val="continue"/>
            <w:shd w:val="clear" w:color="auto" w:fill="auto"/>
            <w:vAlign w:val="center"/>
          </w:tcPr>
          <w:p w14:paraId="480E97B4">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72DEC1A2">
            <w:pPr>
              <w:widowControl/>
              <w:jc w:val="left"/>
              <w:rPr>
                <w:rFonts w:hint="eastAsia" w:ascii="宋体" w:hAnsi="宋体" w:eastAsia="宋体"/>
                <w:color w:val="000000"/>
                <w:kern w:val="0"/>
                <w:sz w:val="18"/>
                <w:szCs w:val="18"/>
              </w:rPr>
            </w:pPr>
          </w:p>
        </w:tc>
        <w:tc>
          <w:tcPr>
            <w:tcW w:w="717" w:type="pct"/>
            <w:vMerge w:val="continue"/>
            <w:shd w:val="clear" w:color="auto" w:fill="auto"/>
            <w:vAlign w:val="center"/>
          </w:tcPr>
          <w:p w14:paraId="66B75D9C">
            <w:pPr>
              <w:widowControl/>
              <w:jc w:val="left"/>
              <w:rPr>
                <w:rFonts w:hint="eastAsia" w:ascii="宋体" w:hAnsi="宋体" w:eastAsia="宋体"/>
                <w:color w:val="000000"/>
                <w:kern w:val="0"/>
                <w:sz w:val="18"/>
                <w:szCs w:val="18"/>
              </w:rPr>
            </w:pPr>
          </w:p>
        </w:tc>
        <w:tc>
          <w:tcPr>
            <w:tcW w:w="673" w:type="pct"/>
            <w:vMerge w:val="continue"/>
            <w:shd w:val="clear" w:color="auto" w:fill="auto"/>
            <w:vAlign w:val="center"/>
          </w:tcPr>
          <w:p w14:paraId="238F09F5">
            <w:pPr>
              <w:widowControl/>
              <w:jc w:val="left"/>
              <w:rPr>
                <w:rFonts w:hint="eastAsia" w:ascii="宋体" w:hAnsi="宋体" w:eastAsia="宋体"/>
                <w:color w:val="000000"/>
                <w:kern w:val="0"/>
                <w:sz w:val="18"/>
                <w:szCs w:val="18"/>
              </w:rPr>
            </w:pPr>
          </w:p>
        </w:tc>
        <w:tc>
          <w:tcPr>
            <w:tcW w:w="1623" w:type="pct"/>
            <w:shd w:val="clear" w:color="auto" w:fill="auto"/>
            <w:vAlign w:val="center"/>
          </w:tcPr>
          <w:p w14:paraId="417DBF24">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有指标浓度倍数</w:t>
            </w:r>
            <w:r>
              <w:rPr>
                <w:rFonts w:ascii="宋体" w:hAnsi="宋体" w:eastAsia="宋体"/>
                <w:color w:val="000000"/>
                <w:kern w:val="0"/>
                <w:sz w:val="18"/>
                <w:szCs w:val="18"/>
              </w:rPr>
              <w:t>3</w:t>
            </w:r>
            <w:r>
              <w:rPr>
                <w:rFonts w:hint="eastAsia" w:ascii="宋体" w:hAnsi="宋体" w:eastAsia="宋体"/>
                <w:color w:val="000000"/>
                <w:kern w:val="0"/>
                <w:sz w:val="18"/>
                <w:szCs w:val="18"/>
              </w:rPr>
              <w:t>倍及以上，且所有指标浓度倍数均在</w:t>
            </w:r>
            <w:r>
              <w:rPr>
                <w:rFonts w:ascii="宋体" w:hAnsi="宋体" w:eastAsia="宋体"/>
                <w:color w:val="000000"/>
                <w:kern w:val="0"/>
                <w:sz w:val="18"/>
                <w:szCs w:val="18"/>
              </w:rPr>
              <w:t xml:space="preserve"> 10</w:t>
            </w:r>
            <w:r>
              <w:rPr>
                <w:rFonts w:hint="eastAsia" w:ascii="宋体" w:hAnsi="宋体" w:eastAsia="宋体"/>
                <w:color w:val="000000"/>
                <w:kern w:val="0"/>
                <w:sz w:val="18"/>
                <w:szCs w:val="18"/>
              </w:rPr>
              <w:t>倍以下</w:t>
            </w:r>
          </w:p>
        </w:tc>
        <w:tc>
          <w:tcPr>
            <w:tcW w:w="513" w:type="pct"/>
            <w:shd w:val="clear" w:color="auto" w:fill="auto"/>
            <w:vAlign w:val="center"/>
          </w:tcPr>
          <w:p w14:paraId="101A9854">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p>
        </w:tc>
        <w:tc>
          <w:tcPr>
            <w:tcW w:w="389" w:type="pct"/>
            <w:vMerge w:val="continue"/>
            <w:shd w:val="clear" w:color="auto" w:fill="auto"/>
            <w:vAlign w:val="center"/>
          </w:tcPr>
          <w:p w14:paraId="67529698">
            <w:pPr>
              <w:widowControl/>
              <w:jc w:val="left"/>
              <w:rPr>
                <w:rFonts w:hint="eastAsia" w:ascii="宋体" w:hAnsi="宋体" w:eastAsia="宋体"/>
                <w:color w:val="000000"/>
                <w:kern w:val="0"/>
                <w:sz w:val="18"/>
                <w:szCs w:val="18"/>
              </w:rPr>
            </w:pPr>
          </w:p>
        </w:tc>
      </w:tr>
      <w:tr w14:paraId="4620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692" w:type="pct"/>
            <w:vMerge w:val="continue"/>
            <w:shd w:val="clear" w:color="auto" w:fill="auto"/>
            <w:vAlign w:val="center"/>
          </w:tcPr>
          <w:p w14:paraId="47BAE33C">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67AC5D52">
            <w:pPr>
              <w:widowControl/>
              <w:jc w:val="left"/>
              <w:rPr>
                <w:rFonts w:hint="eastAsia" w:ascii="宋体" w:hAnsi="宋体" w:eastAsia="宋体"/>
                <w:color w:val="000000"/>
                <w:kern w:val="0"/>
                <w:sz w:val="18"/>
                <w:szCs w:val="18"/>
              </w:rPr>
            </w:pPr>
          </w:p>
        </w:tc>
        <w:tc>
          <w:tcPr>
            <w:tcW w:w="717" w:type="pct"/>
            <w:vMerge w:val="continue"/>
            <w:shd w:val="clear" w:color="auto" w:fill="auto"/>
            <w:vAlign w:val="center"/>
          </w:tcPr>
          <w:p w14:paraId="5A84FB8A">
            <w:pPr>
              <w:widowControl/>
              <w:jc w:val="left"/>
              <w:rPr>
                <w:rFonts w:hint="eastAsia" w:ascii="宋体" w:hAnsi="宋体" w:eastAsia="宋体"/>
                <w:color w:val="000000"/>
                <w:kern w:val="0"/>
                <w:sz w:val="18"/>
                <w:szCs w:val="18"/>
              </w:rPr>
            </w:pPr>
          </w:p>
        </w:tc>
        <w:tc>
          <w:tcPr>
            <w:tcW w:w="673" w:type="pct"/>
            <w:vMerge w:val="continue"/>
            <w:shd w:val="clear" w:color="auto" w:fill="auto"/>
            <w:vAlign w:val="center"/>
          </w:tcPr>
          <w:p w14:paraId="3AB2B46D">
            <w:pPr>
              <w:widowControl/>
              <w:jc w:val="left"/>
              <w:rPr>
                <w:rFonts w:hint="eastAsia" w:ascii="宋体" w:hAnsi="宋体" w:eastAsia="宋体"/>
                <w:color w:val="000000"/>
                <w:kern w:val="0"/>
                <w:sz w:val="18"/>
                <w:szCs w:val="18"/>
              </w:rPr>
            </w:pPr>
          </w:p>
        </w:tc>
        <w:tc>
          <w:tcPr>
            <w:tcW w:w="1623" w:type="pct"/>
            <w:shd w:val="clear" w:color="auto" w:fill="auto"/>
            <w:vAlign w:val="center"/>
          </w:tcPr>
          <w:p w14:paraId="74C08486">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有指标浓度倍数</w:t>
            </w:r>
            <w:r>
              <w:rPr>
                <w:rFonts w:ascii="宋体" w:hAnsi="宋体" w:eastAsia="宋体"/>
                <w:color w:val="000000"/>
                <w:kern w:val="0"/>
                <w:sz w:val="18"/>
                <w:szCs w:val="18"/>
              </w:rPr>
              <w:t>1</w:t>
            </w:r>
            <w:r>
              <w:rPr>
                <w:rFonts w:hint="eastAsia" w:ascii="宋体" w:hAnsi="宋体" w:eastAsia="宋体"/>
                <w:color w:val="000000"/>
                <w:kern w:val="0"/>
                <w:sz w:val="18"/>
                <w:szCs w:val="18"/>
              </w:rPr>
              <w:t>倍及以上，且所有指标浓度倍数均在</w:t>
            </w:r>
            <w:r>
              <w:rPr>
                <w:rFonts w:ascii="宋体" w:hAnsi="宋体" w:eastAsia="宋体"/>
                <w:color w:val="000000"/>
                <w:kern w:val="0"/>
                <w:sz w:val="18"/>
                <w:szCs w:val="18"/>
              </w:rPr>
              <w:t xml:space="preserve"> 3</w:t>
            </w:r>
            <w:r>
              <w:rPr>
                <w:rFonts w:hint="eastAsia" w:ascii="宋体" w:hAnsi="宋体" w:eastAsia="宋体"/>
                <w:color w:val="000000"/>
                <w:kern w:val="0"/>
                <w:sz w:val="18"/>
                <w:szCs w:val="18"/>
              </w:rPr>
              <w:t>倍以下</w:t>
            </w:r>
          </w:p>
        </w:tc>
        <w:tc>
          <w:tcPr>
            <w:tcW w:w="513" w:type="pct"/>
            <w:shd w:val="clear" w:color="auto" w:fill="auto"/>
            <w:vAlign w:val="center"/>
          </w:tcPr>
          <w:p w14:paraId="18A8FB19">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p>
        </w:tc>
        <w:tc>
          <w:tcPr>
            <w:tcW w:w="389" w:type="pct"/>
            <w:vMerge w:val="continue"/>
            <w:shd w:val="clear" w:color="auto" w:fill="auto"/>
            <w:vAlign w:val="center"/>
          </w:tcPr>
          <w:p w14:paraId="25B5AFA5">
            <w:pPr>
              <w:widowControl/>
              <w:jc w:val="left"/>
              <w:rPr>
                <w:rFonts w:hint="eastAsia" w:ascii="宋体" w:hAnsi="宋体" w:eastAsia="宋体"/>
                <w:color w:val="000000"/>
                <w:kern w:val="0"/>
                <w:sz w:val="18"/>
                <w:szCs w:val="18"/>
              </w:rPr>
            </w:pPr>
          </w:p>
        </w:tc>
      </w:tr>
      <w:tr w14:paraId="26D0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92" w:type="pct"/>
            <w:vMerge w:val="continue"/>
            <w:shd w:val="clear" w:color="auto" w:fill="auto"/>
            <w:vAlign w:val="center"/>
          </w:tcPr>
          <w:p w14:paraId="5A1DBC98">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41D90183">
            <w:pPr>
              <w:widowControl/>
              <w:jc w:val="left"/>
              <w:rPr>
                <w:rFonts w:hint="eastAsia" w:ascii="宋体" w:hAnsi="宋体" w:eastAsia="宋体"/>
                <w:color w:val="000000"/>
                <w:kern w:val="0"/>
                <w:sz w:val="18"/>
                <w:szCs w:val="18"/>
              </w:rPr>
            </w:pPr>
          </w:p>
        </w:tc>
        <w:tc>
          <w:tcPr>
            <w:tcW w:w="717" w:type="pct"/>
            <w:vMerge w:val="continue"/>
            <w:shd w:val="clear" w:color="auto" w:fill="auto"/>
            <w:vAlign w:val="center"/>
          </w:tcPr>
          <w:p w14:paraId="3D1BE6D1">
            <w:pPr>
              <w:widowControl/>
              <w:jc w:val="left"/>
              <w:rPr>
                <w:rFonts w:hint="eastAsia" w:ascii="宋体" w:hAnsi="宋体" w:eastAsia="宋体"/>
                <w:color w:val="000000"/>
                <w:kern w:val="0"/>
                <w:sz w:val="18"/>
                <w:szCs w:val="18"/>
              </w:rPr>
            </w:pPr>
          </w:p>
        </w:tc>
        <w:tc>
          <w:tcPr>
            <w:tcW w:w="673" w:type="pct"/>
            <w:vMerge w:val="continue"/>
            <w:shd w:val="clear" w:color="auto" w:fill="auto"/>
            <w:vAlign w:val="center"/>
          </w:tcPr>
          <w:p w14:paraId="7272ACCD">
            <w:pPr>
              <w:widowControl/>
              <w:jc w:val="left"/>
              <w:rPr>
                <w:rFonts w:hint="eastAsia" w:ascii="宋体" w:hAnsi="宋体" w:eastAsia="宋体"/>
                <w:color w:val="000000"/>
                <w:kern w:val="0"/>
                <w:sz w:val="18"/>
                <w:szCs w:val="18"/>
              </w:rPr>
            </w:pPr>
          </w:p>
        </w:tc>
        <w:tc>
          <w:tcPr>
            <w:tcW w:w="1623" w:type="pct"/>
            <w:shd w:val="clear" w:color="auto" w:fill="auto"/>
            <w:vAlign w:val="center"/>
          </w:tcPr>
          <w:p w14:paraId="345C1C40">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所有指标浓度倍数均在</w:t>
            </w:r>
            <w:r>
              <w:rPr>
                <w:rFonts w:ascii="宋体" w:hAnsi="宋体" w:eastAsia="宋体"/>
                <w:color w:val="000000"/>
                <w:kern w:val="0"/>
                <w:sz w:val="18"/>
                <w:szCs w:val="18"/>
              </w:rPr>
              <w:t>1</w:t>
            </w:r>
            <w:r>
              <w:rPr>
                <w:rFonts w:hint="eastAsia" w:ascii="宋体" w:hAnsi="宋体" w:eastAsia="宋体"/>
                <w:color w:val="000000"/>
                <w:kern w:val="0"/>
                <w:sz w:val="18"/>
                <w:szCs w:val="18"/>
              </w:rPr>
              <w:t>倍以下</w:t>
            </w:r>
          </w:p>
        </w:tc>
        <w:tc>
          <w:tcPr>
            <w:tcW w:w="513" w:type="pct"/>
            <w:shd w:val="clear" w:color="auto" w:fill="auto"/>
            <w:vAlign w:val="center"/>
          </w:tcPr>
          <w:p w14:paraId="4CB48CC1">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p>
        </w:tc>
        <w:tc>
          <w:tcPr>
            <w:tcW w:w="389" w:type="pct"/>
            <w:vMerge w:val="continue"/>
            <w:shd w:val="clear" w:color="auto" w:fill="auto"/>
            <w:vAlign w:val="center"/>
          </w:tcPr>
          <w:p w14:paraId="4588A938">
            <w:pPr>
              <w:widowControl/>
              <w:jc w:val="left"/>
              <w:rPr>
                <w:rFonts w:hint="eastAsia" w:ascii="宋体" w:hAnsi="宋体" w:eastAsia="宋体"/>
                <w:color w:val="000000"/>
                <w:kern w:val="0"/>
                <w:sz w:val="18"/>
                <w:szCs w:val="18"/>
              </w:rPr>
            </w:pPr>
          </w:p>
        </w:tc>
      </w:tr>
      <w:tr w14:paraId="1C0F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92" w:type="pct"/>
            <w:vMerge w:val="continue"/>
            <w:shd w:val="clear" w:color="auto" w:fill="auto"/>
            <w:vAlign w:val="center"/>
          </w:tcPr>
          <w:p w14:paraId="2F66F8D9">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1C656909">
            <w:pPr>
              <w:widowControl/>
              <w:jc w:val="left"/>
              <w:rPr>
                <w:rFonts w:hint="eastAsia" w:ascii="宋体" w:hAnsi="宋体" w:eastAsia="宋体"/>
                <w:color w:val="000000"/>
                <w:kern w:val="0"/>
                <w:sz w:val="18"/>
                <w:szCs w:val="18"/>
              </w:rPr>
            </w:pPr>
          </w:p>
        </w:tc>
        <w:tc>
          <w:tcPr>
            <w:tcW w:w="717" w:type="pct"/>
            <w:vMerge w:val="continue"/>
            <w:shd w:val="clear" w:color="auto" w:fill="auto"/>
            <w:vAlign w:val="center"/>
          </w:tcPr>
          <w:p w14:paraId="797B4DB1">
            <w:pPr>
              <w:widowControl/>
              <w:jc w:val="left"/>
              <w:rPr>
                <w:rFonts w:hint="eastAsia" w:ascii="宋体" w:hAnsi="宋体" w:eastAsia="宋体"/>
                <w:color w:val="000000"/>
                <w:kern w:val="0"/>
                <w:sz w:val="18"/>
                <w:szCs w:val="18"/>
              </w:rPr>
            </w:pPr>
          </w:p>
        </w:tc>
        <w:tc>
          <w:tcPr>
            <w:tcW w:w="673" w:type="pct"/>
            <w:vMerge w:val="restart"/>
            <w:shd w:val="clear" w:color="auto" w:fill="auto"/>
            <w:vAlign w:val="center"/>
          </w:tcPr>
          <w:p w14:paraId="0A606DD3">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浓度倍数</w:t>
            </w:r>
            <w:r>
              <w:rPr>
                <w:rFonts w:ascii="宋体" w:hAnsi="宋体" w:eastAsia="宋体"/>
                <w:color w:val="000000"/>
                <w:kern w:val="0"/>
                <w:sz w:val="18"/>
                <w:szCs w:val="18"/>
              </w:rPr>
              <w:t xml:space="preserve">3 </w:t>
            </w:r>
            <w:r>
              <w:rPr>
                <w:rFonts w:hint="eastAsia" w:ascii="宋体" w:hAnsi="宋体" w:eastAsia="宋体"/>
                <w:color w:val="000000"/>
                <w:kern w:val="0"/>
                <w:sz w:val="18"/>
                <w:szCs w:val="18"/>
              </w:rPr>
              <w:t>倍及以上的指标项数</w:t>
            </w:r>
          </w:p>
        </w:tc>
        <w:tc>
          <w:tcPr>
            <w:tcW w:w="1623" w:type="pct"/>
            <w:shd w:val="clear" w:color="auto" w:fill="auto"/>
            <w:vAlign w:val="center"/>
          </w:tcPr>
          <w:p w14:paraId="3061E822">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r>
              <w:rPr>
                <w:rFonts w:hint="eastAsia" w:ascii="宋体" w:hAnsi="宋体" w:eastAsia="宋体"/>
                <w:color w:val="000000"/>
                <w:kern w:val="0"/>
                <w:sz w:val="18"/>
                <w:szCs w:val="18"/>
              </w:rPr>
              <w:t>项及以上</w:t>
            </w:r>
          </w:p>
        </w:tc>
        <w:tc>
          <w:tcPr>
            <w:tcW w:w="513" w:type="pct"/>
            <w:shd w:val="clear" w:color="auto" w:fill="auto"/>
            <w:vAlign w:val="center"/>
          </w:tcPr>
          <w:p w14:paraId="371327D6">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15</w:t>
            </w:r>
          </w:p>
        </w:tc>
        <w:tc>
          <w:tcPr>
            <w:tcW w:w="389" w:type="pct"/>
            <w:vMerge w:val="continue"/>
            <w:shd w:val="clear" w:color="auto" w:fill="auto"/>
            <w:vAlign w:val="center"/>
          </w:tcPr>
          <w:p w14:paraId="74EBFB28">
            <w:pPr>
              <w:widowControl/>
              <w:jc w:val="left"/>
              <w:rPr>
                <w:rFonts w:hint="eastAsia" w:ascii="宋体" w:hAnsi="宋体" w:eastAsia="宋体"/>
                <w:color w:val="000000"/>
                <w:kern w:val="0"/>
                <w:sz w:val="18"/>
                <w:szCs w:val="18"/>
              </w:rPr>
            </w:pPr>
          </w:p>
        </w:tc>
      </w:tr>
      <w:tr w14:paraId="4A57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095DE4E2">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72226A4C">
            <w:pPr>
              <w:widowControl/>
              <w:jc w:val="left"/>
              <w:rPr>
                <w:rFonts w:hint="eastAsia" w:ascii="宋体" w:hAnsi="宋体" w:eastAsia="宋体"/>
                <w:color w:val="000000"/>
                <w:kern w:val="0"/>
                <w:sz w:val="18"/>
                <w:szCs w:val="18"/>
              </w:rPr>
            </w:pPr>
          </w:p>
        </w:tc>
        <w:tc>
          <w:tcPr>
            <w:tcW w:w="717" w:type="pct"/>
            <w:vMerge w:val="continue"/>
            <w:shd w:val="clear" w:color="auto" w:fill="auto"/>
            <w:vAlign w:val="center"/>
          </w:tcPr>
          <w:p w14:paraId="2D54C84B">
            <w:pPr>
              <w:widowControl/>
              <w:jc w:val="left"/>
              <w:rPr>
                <w:rFonts w:hint="eastAsia" w:ascii="宋体" w:hAnsi="宋体" w:eastAsia="宋体"/>
                <w:color w:val="000000"/>
                <w:kern w:val="0"/>
                <w:sz w:val="18"/>
                <w:szCs w:val="18"/>
              </w:rPr>
            </w:pPr>
          </w:p>
        </w:tc>
        <w:tc>
          <w:tcPr>
            <w:tcW w:w="673" w:type="pct"/>
            <w:vMerge w:val="continue"/>
            <w:shd w:val="clear" w:color="auto" w:fill="auto"/>
            <w:vAlign w:val="center"/>
          </w:tcPr>
          <w:p w14:paraId="2894A144">
            <w:pPr>
              <w:widowControl/>
              <w:jc w:val="left"/>
              <w:rPr>
                <w:rFonts w:hint="eastAsia" w:ascii="宋体" w:hAnsi="宋体" w:eastAsia="宋体"/>
                <w:color w:val="000000"/>
                <w:kern w:val="0"/>
                <w:sz w:val="18"/>
                <w:szCs w:val="18"/>
              </w:rPr>
            </w:pPr>
          </w:p>
        </w:tc>
        <w:tc>
          <w:tcPr>
            <w:tcW w:w="1623" w:type="pct"/>
            <w:shd w:val="clear" w:color="auto" w:fill="auto"/>
            <w:vAlign w:val="center"/>
          </w:tcPr>
          <w:p w14:paraId="68FB7422">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2</w:t>
            </w:r>
            <w:r>
              <w:rPr>
                <w:rFonts w:hint="eastAsia" w:ascii="宋体" w:hAnsi="宋体" w:eastAsia="宋体"/>
                <w:color w:val="000000"/>
                <w:kern w:val="0"/>
                <w:sz w:val="18"/>
                <w:szCs w:val="18"/>
              </w:rPr>
              <w:t>至</w:t>
            </w:r>
            <w:r>
              <w:rPr>
                <w:rFonts w:ascii="宋体" w:hAnsi="宋体" w:eastAsia="宋体"/>
                <w:color w:val="000000"/>
                <w:kern w:val="0"/>
                <w:sz w:val="18"/>
                <w:szCs w:val="18"/>
              </w:rPr>
              <w:t>4</w:t>
            </w:r>
            <w:r>
              <w:rPr>
                <w:rFonts w:hint="eastAsia" w:ascii="宋体" w:hAnsi="宋体" w:eastAsia="宋体"/>
                <w:color w:val="000000"/>
                <w:kern w:val="0"/>
                <w:sz w:val="18"/>
                <w:szCs w:val="18"/>
              </w:rPr>
              <w:t>项</w:t>
            </w:r>
          </w:p>
        </w:tc>
        <w:tc>
          <w:tcPr>
            <w:tcW w:w="513" w:type="pct"/>
            <w:shd w:val="clear" w:color="auto" w:fill="auto"/>
            <w:vAlign w:val="center"/>
          </w:tcPr>
          <w:p w14:paraId="11A332AB">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10</w:t>
            </w:r>
          </w:p>
        </w:tc>
        <w:tc>
          <w:tcPr>
            <w:tcW w:w="389" w:type="pct"/>
            <w:vMerge w:val="continue"/>
            <w:shd w:val="clear" w:color="auto" w:fill="auto"/>
            <w:vAlign w:val="center"/>
          </w:tcPr>
          <w:p w14:paraId="3CDB7654">
            <w:pPr>
              <w:widowControl/>
              <w:jc w:val="left"/>
              <w:rPr>
                <w:rFonts w:hint="eastAsia" w:ascii="宋体" w:hAnsi="宋体" w:eastAsia="宋体"/>
                <w:color w:val="000000"/>
                <w:kern w:val="0"/>
                <w:sz w:val="18"/>
                <w:szCs w:val="18"/>
              </w:rPr>
            </w:pPr>
          </w:p>
        </w:tc>
      </w:tr>
      <w:tr w14:paraId="5B7B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692" w:type="pct"/>
            <w:vMerge w:val="continue"/>
            <w:shd w:val="clear" w:color="auto" w:fill="auto"/>
            <w:vAlign w:val="center"/>
          </w:tcPr>
          <w:p w14:paraId="135CFF9D">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71C6D3EB">
            <w:pPr>
              <w:widowControl/>
              <w:jc w:val="left"/>
              <w:rPr>
                <w:rFonts w:hint="eastAsia" w:ascii="宋体" w:hAnsi="宋体" w:eastAsia="宋体"/>
                <w:color w:val="000000"/>
                <w:kern w:val="0"/>
                <w:sz w:val="18"/>
                <w:szCs w:val="18"/>
              </w:rPr>
            </w:pPr>
          </w:p>
        </w:tc>
        <w:tc>
          <w:tcPr>
            <w:tcW w:w="717" w:type="pct"/>
            <w:vMerge w:val="continue"/>
            <w:shd w:val="clear" w:color="auto" w:fill="auto"/>
            <w:vAlign w:val="center"/>
          </w:tcPr>
          <w:p w14:paraId="73BCCCD0">
            <w:pPr>
              <w:widowControl/>
              <w:jc w:val="left"/>
              <w:rPr>
                <w:rFonts w:hint="eastAsia" w:ascii="宋体" w:hAnsi="宋体" w:eastAsia="宋体"/>
                <w:color w:val="000000"/>
                <w:kern w:val="0"/>
                <w:sz w:val="18"/>
                <w:szCs w:val="18"/>
              </w:rPr>
            </w:pPr>
          </w:p>
        </w:tc>
        <w:tc>
          <w:tcPr>
            <w:tcW w:w="673" w:type="pct"/>
            <w:vMerge w:val="continue"/>
            <w:shd w:val="clear" w:color="auto" w:fill="auto"/>
            <w:vAlign w:val="center"/>
          </w:tcPr>
          <w:p w14:paraId="2D0A3DE0">
            <w:pPr>
              <w:widowControl/>
              <w:jc w:val="left"/>
              <w:rPr>
                <w:rFonts w:hint="eastAsia" w:ascii="宋体" w:hAnsi="宋体" w:eastAsia="宋体"/>
                <w:color w:val="000000"/>
                <w:kern w:val="0"/>
                <w:sz w:val="18"/>
                <w:szCs w:val="18"/>
              </w:rPr>
            </w:pPr>
          </w:p>
        </w:tc>
        <w:tc>
          <w:tcPr>
            <w:tcW w:w="1623" w:type="pct"/>
            <w:shd w:val="clear" w:color="auto" w:fill="auto"/>
            <w:vAlign w:val="center"/>
          </w:tcPr>
          <w:p w14:paraId="7CF48D04">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1</w:t>
            </w:r>
            <w:r>
              <w:rPr>
                <w:rFonts w:hint="eastAsia" w:ascii="宋体" w:hAnsi="宋体" w:eastAsia="宋体"/>
                <w:color w:val="000000"/>
                <w:kern w:val="0"/>
                <w:sz w:val="18"/>
                <w:szCs w:val="18"/>
              </w:rPr>
              <w:t>项</w:t>
            </w:r>
          </w:p>
        </w:tc>
        <w:tc>
          <w:tcPr>
            <w:tcW w:w="513" w:type="pct"/>
            <w:shd w:val="clear" w:color="auto" w:fill="auto"/>
            <w:vAlign w:val="center"/>
          </w:tcPr>
          <w:p w14:paraId="4CD2E011">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5</w:t>
            </w:r>
          </w:p>
        </w:tc>
        <w:tc>
          <w:tcPr>
            <w:tcW w:w="389" w:type="pct"/>
            <w:vMerge w:val="continue"/>
            <w:shd w:val="clear" w:color="auto" w:fill="auto"/>
            <w:vAlign w:val="center"/>
          </w:tcPr>
          <w:p w14:paraId="50EAD1B4">
            <w:pPr>
              <w:widowControl/>
              <w:jc w:val="left"/>
              <w:rPr>
                <w:rFonts w:hint="eastAsia" w:ascii="宋体" w:hAnsi="宋体" w:eastAsia="宋体"/>
                <w:color w:val="000000"/>
                <w:kern w:val="0"/>
                <w:sz w:val="18"/>
                <w:szCs w:val="18"/>
              </w:rPr>
            </w:pPr>
          </w:p>
        </w:tc>
      </w:tr>
      <w:tr w14:paraId="596F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92" w:type="pct"/>
            <w:vMerge w:val="continue"/>
            <w:shd w:val="clear" w:color="auto" w:fill="auto"/>
            <w:vAlign w:val="center"/>
          </w:tcPr>
          <w:p w14:paraId="363F80F5">
            <w:pPr>
              <w:widowControl/>
              <w:jc w:val="left"/>
              <w:rPr>
                <w:rFonts w:hint="eastAsia" w:ascii="宋体" w:hAnsi="宋体" w:eastAsia="宋体"/>
                <w:color w:val="000000"/>
                <w:kern w:val="0"/>
                <w:sz w:val="18"/>
                <w:szCs w:val="18"/>
              </w:rPr>
            </w:pPr>
          </w:p>
        </w:tc>
        <w:tc>
          <w:tcPr>
            <w:tcW w:w="393" w:type="pct"/>
            <w:vMerge w:val="continue"/>
            <w:shd w:val="clear" w:color="auto" w:fill="auto"/>
            <w:vAlign w:val="center"/>
          </w:tcPr>
          <w:p w14:paraId="3D43194F">
            <w:pPr>
              <w:widowControl/>
              <w:jc w:val="left"/>
              <w:rPr>
                <w:rFonts w:hint="eastAsia" w:ascii="宋体" w:hAnsi="宋体" w:eastAsia="宋体"/>
                <w:color w:val="000000"/>
                <w:kern w:val="0"/>
                <w:sz w:val="18"/>
                <w:szCs w:val="18"/>
              </w:rPr>
            </w:pPr>
          </w:p>
        </w:tc>
        <w:tc>
          <w:tcPr>
            <w:tcW w:w="717" w:type="pct"/>
            <w:vMerge w:val="continue"/>
            <w:shd w:val="clear" w:color="auto" w:fill="auto"/>
            <w:vAlign w:val="center"/>
          </w:tcPr>
          <w:p w14:paraId="522ED187">
            <w:pPr>
              <w:widowControl/>
              <w:jc w:val="left"/>
              <w:rPr>
                <w:rFonts w:hint="eastAsia" w:ascii="宋体" w:hAnsi="宋体" w:eastAsia="宋体"/>
                <w:color w:val="000000"/>
                <w:kern w:val="0"/>
                <w:sz w:val="18"/>
                <w:szCs w:val="18"/>
              </w:rPr>
            </w:pPr>
          </w:p>
        </w:tc>
        <w:tc>
          <w:tcPr>
            <w:tcW w:w="673" w:type="pct"/>
            <w:vMerge w:val="continue"/>
            <w:shd w:val="clear" w:color="auto" w:fill="auto"/>
            <w:vAlign w:val="center"/>
          </w:tcPr>
          <w:p w14:paraId="6928FC1C">
            <w:pPr>
              <w:widowControl/>
              <w:jc w:val="left"/>
              <w:rPr>
                <w:rFonts w:hint="eastAsia" w:ascii="宋体" w:hAnsi="宋体" w:eastAsia="宋体"/>
                <w:color w:val="000000"/>
                <w:kern w:val="0"/>
                <w:sz w:val="18"/>
                <w:szCs w:val="18"/>
              </w:rPr>
            </w:pPr>
          </w:p>
        </w:tc>
        <w:tc>
          <w:tcPr>
            <w:tcW w:w="1623" w:type="pct"/>
            <w:shd w:val="clear" w:color="auto" w:fill="auto"/>
            <w:vAlign w:val="center"/>
          </w:tcPr>
          <w:p w14:paraId="645CB6BB">
            <w:pPr>
              <w:widowControl/>
              <w:jc w:val="center"/>
              <w:rPr>
                <w:rFonts w:hint="eastAsia" w:ascii="宋体" w:hAnsi="宋体" w:eastAsia="宋体"/>
                <w:color w:val="000000"/>
                <w:kern w:val="0"/>
                <w:sz w:val="18"/>
                <w:szCs w:val="18"/>
              </w:rPr>
            </w:pPr>
            <w:r>
              <w:rPr>
                <w:rFonts w:hint="eastAsia" w:ascii="宋体" w:hAnsi="宋体" w:eastAsia="宋体"/>
                <w:color w:val="000000"/>
                <w:kern w:val="0"/>
                <w:sz w:val="18"/>
                <w:szCs w:val="18"/>
              </w:rPr>
              <w:t>无</w:t>
            </w:r>
          </w:p>
        </w:tc>
        <w:tc>
          <w:tcPr>
            <w:tcW w:w="513" w:type="pct"/>
            <w:shd w:val="clear" w:color="auto" w:fill="auto"/>
            <w:vAlign w:val="center"/>
          </w:tcPr>
          <w:p w14:paraId="53DB07BD">
            <w:pPr>
              <w:widowControl/>
              <w:jc w:val="center"/>
              <w:rPr>
                <w:rFonts w:hint="eastAsia" w:ascii="宋体" w:hAnsi="宋体" w:eastAsia="宋体"/>
                <w:color w:val="000000"/>
                <w:kern w:val="0"/>
                <w:sz w:val="18"/>
                <w:szCs w:val="18"/>
              </w:rPr>
            </w:pPr>
            <w:r>
              <w:rPr>
                <w:rFonts w:ascii="宋体" w:hAnsi="宋体" w:eastAsia="宋体"/>
                <w:color w:val="000000"/>
                <w:kern w:val="0"/>
                <w:sz w:val="18"/>
                <w:szCs w:val="18"/>
              </w:rPr>
              <w:t>0</w:t>
            </w:r>
          </w:p>
        </w:tc>
        <w:tc>
          <w:tcPr>
            <w:tcW w:w="389" w:type="pct"/>
            <w:vMerge w:val="continue"/>
            <w:shd w:val="clear" w:color="auto" w:fill="auto"/>
            <w:vAlign w:val="center"/>
          </w:tcPr>
          <w:p w14:paraId="14C4B567">
            <w:pPr>
              <w:widowControl/>
              <w:jc w:val="left"/>
              <w:rPr>
                <w:rFonts w:hint="eastAsia" w:ascii="宋体" w:hAnsi="宋体" w:eastAsia="宋体"/>
                <w:color w:val="000000"/>
                <w:kern w:val="0"/>
                <w:sz w:val="18"/>
                <w:szCs w:val="18"/>
              </w:rPr>
            </w:pPr>
          </w:p>
        </w:tc>
      </w:tr>
      <w:tr w14:paraId="312B0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000" w:type="pct"/>
            <w:gridSpan w:val="7"/>
            <w:shd w:val="clear" w:color="auto" w:fill="auto"/>
            <w:vAlign w:val="center"/>
          </w:tcPr>
          <w:p w14:paraId="388E8B70">
            <w:pPr>
              <w:ind w:left="360" w:hanging="360" w:hangingChars="200"/>
              <w:rPr>
                <w:rFonts w:hint="eastAsia" w:ascii="宋体" w:hAnsi="宋体" w:eastAsia="宋体"/>
                <w:color w:val="000000"/>
                <w:sz w:val="18"/>
                <w:szCs w:val="18"/>
              </w:rPr>
            </w:pPr>
            <w:r>
              <w:rPr>
                <w:rFonts w:ascii="宋体" w:hAnsi="宋体" w:eastAsia="宋体"/>
                <w:color w:val="000000"/>
                <w:sz w:val="18"/>
                <w:szCs w:val="18"/>
              </w:rPr>
              <w:t>注</w:t>
            </w:r>
            <w:r>
              <w:rPr>
                <w:rFonts w:hint="eastAsia" w:ascii="宋体" w:hAnsi="宋体" w:eastAsia="宋体"/>
                <w:color w:val="000000"/>
                <w:sz w:val="18"/>
                <w:szCs w:val="18"/>
              </w:rPr>
              <w:t>1</w:t>
            </w:r>
            <w:r>
              <w:rPr>
                <w:rFonts w:ascii="宋体" w:hAnsi="宋体" w:eastAsia="宋体"/>
                <w:color w:val="000000"/>
                <w:sz w:val="18"/>
                <w:szCs w:val="18"/>
              </w:rPr>
              <w:t>：</w:t>
            </w:r>
            <w:r>
              <w:rPr>
                <w:rFonts w:hint="eastAsia" w:ascii="宋体" w:hAnsi="宋体" w:eastAsia="宋体"/>
                <w:color w:val="000000"/>
                <w:sz w:val="18"/>
                <w:szCs w:val="18"/>
              </w:rPr>
              <w:t>特征污染物浓度倍数：指特征污染物的实测浓度与区域环境质量保护目标的比值，若无明确规定采用GB3838 Ⅲ类水标准。</w:t>
            </w:r>
          </w:p>
          <w:p w14:paraId="4F880B6C">
            <w:pPr>
              <w:ind w:left="360" w:hanging="360" w:hangingChars="200"/>
              <w:rPr>
                <w:rFonts w:hint="eastAsia" w:ascii="宋体" w:hAnsi="宋体" w:eastAsia="宋体"/>
                <w:color w:val="000000"/>
                <w:kern w:val="0"/>
                <w:sz w:val="18"/>
                <w:szCs w:val="18"/>
              </w:rPr>
            </w:pPr>
            <w:r>
              <w:rPr>
                <w:rFonts w:ascii="宋体" w:hAnsi="宋体" w:eastAsia="宋体"/>
                <w:color w:val="000000"/>
                <w:sz w:val="18"/>
                <w:szCs w:val="18"/>
              </w:rPr>
              <w:t>注</w:t>
            </w:r>
            <w:r>
              <w:rPr>
                <w:rFonts w:hint="eastAsia" w:ascii="宋体" w:hAnsi="宋体" w:eastAsia="宋体"/>
                <w:color w:val="000000"/>
                <w:sz w:val="18"/>
                <w:szCs w:val="18"/>
              </w:rPr>
              <w:t>2</w:t>
            </w:r>
            <w:r>
              <w:rPr>
                <w:rFonts w:ascii="宋体" w:hAnsi="宋体" w:eastAsia="宋体"/>
                <w:color w:val="000000"/>
                <w:sz w:val="18"/>
                <w:szCs w:val="18"/>
              </w:rPr>
              <w:t>：</w:t>
            </w:r>
            <w:r>
              <w:rPr>
                <w:rFonts w:hint="eastAsia" w:ascii="宋体" w:hAnsi="宋体" w:eastAsia="宋体"/>
                <w:color w:val="000000"/>
                <w:sz w:val="18"/>
                <w:szCs w:val="18"/>
              </w:rPr>
              <w:t>指标最高浓度倍数：指所有特征污染物指标浓度倍数的最大值。</w:t>
            </w:r>
          </w:p>
        </w:tc>
      </w:tr>
    </w:tbl>
    <w:p w14:paraId="5C0C851F">
      <w:pPr>
        <w:rPr>
          <w:rFonts w:hint="eastAsia"/>
        </w:rPr>
      </w:pPr>
    </w:p>
    <w:p w14:paraId="03664B8F">
      <w:pPr>
        <w:rPr>
          <w:rFonts w:hint="eastAsia"/>
        </w:rPr>
        <w:sectPr>
          <w:pgSz w:w="11906" w:h="16838"/>
          <w:pgMar w:top="1440" w:right="1800" w:bottom="1440" w:left="1800" w:header="851" w:footer="992" w:gutter="0"/>
          <w:cols w:space="720" w:num="1"/>
          <w:docGrid w:type="lines" w:linePitch="312" w:charSpace="0"/>
        </w:sectPr>
      </w:pPr>
    </w:p>
    <w:p w14:paraId="4CFCD10F">
      <w:pPr>
        <w:pageBreakBefore/>
        <w:overflowPunct w:val="0"/>
        <w:adjustRightInd w:val="0"/>
        <w:snapToGrid w:val="0"/>
        <w:spacing w:before="120" w:after="120"/>
        <w:jc w:val="center"/>
        <w:outlineLvl w:val="0"/>
        <w:rPr>
          <w:rFonts w:hint="eastAsia" w:ascii="黑体" w:hAnsi="黑体" w:eastAsia="黑体" w:cs="黑体"/>
          <w:bCs/>
          <w:kern w:val="36"/>
          <w:szCs w:val="21"/>
        </w:rPr>
      </w:pPr>
      <w:bookmarkStart w:id="141" w:name="_Toc194589006"/>
      <w:r>
        <w:rPr>
          <w:rFonts w:hint="eastAsia" w:ascii="黑体" w:hAnsi="黑体" w:eastAsia="黑体" w:cs="黑体"/>
          <w:bCs/>
          <w:kern w:val="36"/>
          <w:szCs w:val="21"/>
        </w:rPr>
        <w:t xml:space="preserve">附  录 B </w:t>
      </w:r>
      <w:r>
        <w:rPr>
          <w:rFonts w:hint="eastAsia" w:ascii="黑体" w:hAnsi="黑体" w:eastAsia="黑体" w:cs="黑体"/>
          <w:bCs/>
          <w:kern w:val="36"/>
          <w:szCs w:val="21"/>
        </w:rPr>
        <w:br w:type="textWrapping"/>
      </w:r>
      <w:r>
        <w:rPr>
          <w:rFonts w:hint="eastAsia" w:ascii="黑体" w:hAnsi="黑体" w:eastAsia="黑体" w:cs="黑体"/>
          <w:bCs/>
          <w:kern w:val="36"/>
          <w:szCs w:val="21"/>
        </w:rPr>
        <w:t>（规范性）</w:t>
      </w:r>
      <w:bookmarkEnd w:id="141"/>
    </w:p>
    <w:p w14:paraId="19ED0996">
      <w:pPr>
        <w:pStyle w:val="71"/>
      </w:pPr>
      <w:bookmarkStart w:id="142" w:name="_Toc194589007"/>
      <w:bookmarkStart w:id="143" w:name="_Toc193268292"/>
      <w:r>
        <w:t>污染物迁移性指标评分表</w:t>
      </w:r>
      <w:bookmarkEnd w:id="142"/>
      <w:bookmarkEnd w:id="143"/>
    </w:p>
    <w:p w14:paraId="359590DE">
      <w:pPr>
        <w:pStyle w:val="2"/>
        <w:spacing w:before="120" w:beforeAutospacing="0" w:afterAutospacing="0"/>
        <w:jc w:val="center"/>
        <w:rPr>
          <w:rFonts w:ascii="黑体" w:hAnsi="黑体" w:eastAsia="黑体" w:cs="黑体"/>
          <w:b w:val="0"/>
          <w:bCs/>
          <w:kern w:val="36"/>
          <w:sz w:val="21"/>
          <w:szCs w:val="21"/>
        </w:rPr>
      </w:pPr>
      <w:bookmarkStart w:id="144" w:name="_Toc193189076"/>
      <w:bookmarkStart w:id="145" w:name="_Toc181892435"/>
      <w:bookmarkStart w:id="146" w:name="_Toc183542821"/>
      <w:bookmarkStart w:id="147" w:name="_Toc185097915"/>
      <w:bookmarkStart w:id="148" w:name="_Toc193268293"/>
      <w:bookmarkStart w:id="149" w:name="_Toc194589008"/>
      <w:r>
        <w:rPr>
          <w:rFonts w:ascii="黑体" w:hAnsi="黑体" w:eastAsia="黑体" w:cs="黑体"/>
          <w:b w:val="0"/>
          <w:bCs/>
          <w:kern w:val="36"/>
          <w:sz w:val="21"/>
          <w:szCs w:val="21"/>
        </w:rPr>
        <w:t>表B.1 污染物迁移性指标评分表</w:t>
      </w:r>
      <w:bookmarkEnd w:id="144"/>
      <w:bookmarkEnd w:id="145"/>
      <w:bookmarkEnd w:id="146"/>
      <w:bookmarkEnd w:id="147"/>
      <w:bookmarkEnd w:id="148"/>
      <w:bookmarkEnd w:id="149"/>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860"/>
        <w:gridCol w:w="1490"/>
        <w:gridCol w:w="1902"/>
        <w:gridCol w:w="2090"/>
        <w:gridCol w:w="735"/>
        <w:gridCol w:w="665"/>
      </w:tblGrid>
      <w:tr w14:paraId="0F1E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458" w:type="pct"/>
          </w:tcPr>
          <w:p w14:paraId="45E3522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目标层</w:t>
            </w:r>
          </w:p>
        </w:tc>
        <w:tc>
          <w:tcPr>
            <w:tcW w:w="505" w:type="pct"/>
            <w:shd w:val="clear" w:color="auto" w:fill="auto"/>
            <w:vAlign w:val="center"/>
          </w:tcPr>
          <w:p w14:paraId="3CD3F3F8">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准则层</w:t>
            </w:r>
          </w:p>
        </w:tc>
        <w:tc>
          <w:tcPr>
            <w:tcW w:w="1990" w:type="pct"/>
            <w:gridSpan w:val="2"/>
            <w:shd w:val="clear" w:color="auto" w:fill="auto"/>
            <w:vAlign w:val="center"/>
          </w:tcPr>
          <w:p w14:paraId="2A433B5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指标层</w:t>
            </w:r>
          </w:p>
        </w:tc>
        <w:tc>
          <w:tcPr>
            <w:tcW w:w="1226" w:type="pct"/>
            <w:shd w:val="clear" w:color="auto" w:fill="auto"/>
            <w:vAlign w:val="center"/>
          </w:tcPr>
          <w:p w14:paraId="70489F6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指标说明</w:t>
            </w:r>
          </w:p>
        </w:tc>
        <w:tc>
          <w:tcPr>
            <w:tcW w:w="431" w:type="pct"/>
            <w:shd w:val="clear" w:color="auto" w:fill="auto"/>
            <w:vAlign w:val="center"/>
          </w:tcPr>
          <w:p w14:paraId="2D17CC4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387" w:type="pct"/>
            <w:shd w:val="clear" w:color="auto" w:fill="auto"/>
            <w:vAlign w:val="center"/>
          </w:tcPr>
          <w:p w14:paraId="0504402C">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r>
      <w:tr w14:paraId="02E3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8" w:type="pct"/>
            <w:vMerge w:val="restart"/>
            <w:vAlign w:val="center"/>
          </w:tcPr>
          <w:p w14:paraId="2151E59F">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污染物迁移性</w:t>
            </w:r>
          </w:p>
        </w:tc>
        <w:tc>
          <w:tcPr>
            <w:tcW w:w="505" w:type="pct"/>
            <w:vMerge w:val="restart"/>
            <w:shd w:val="clear" w:color="auto" w:fill="auto"/>
            <w:vAlign w:val="center"/>
          </w:tcPr>
          <w:p w14:paraId="5DE2B9A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地下水污染迁移性</w:t>
            </w:r>
          </w:p>
        </w:tc>
        <w:tc>
          <w:tcPr>
            <w:tcW w:w="874" w:type="pct"/>
            <w:vMerge w:val="restart"/>
            <w:shd w:val="clear" w:color="auto" w:fill="auto"/>
            <w:vAlign w:val="center"/>
          </w:tcPr>
          <w:p w14:paraId="5DF96B6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地下水脆弱性</w:t>
            </w:r>
          </w:p>
        </w:tc>
        <w:tc>
          <w:tcPr>
            <w:tcW w:w="1115" w:type="pct"/>
            <w:vMerge w:val="restart"/>
            <w:shd w:val="clear" w:color="auto" w:fill="auto"/>
            <w:vAlign w:val="center"/>
          </w:tcPr>
          <w:p w14:paraId="449919B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地下水埋深</w:t>
            </w:r>
          </w:p>
        </w:tc>
        <w:tc>
          <w:tcPr>
            <w:tcW w:w="1226" w:type="pct"/>
            <w:shd w:val="clear" w:color="auto" w:fill="auto"/>
            <w:vAlign w:val="center"/>
          </w:tcPr>
          <w:p w14:paraId="407B70A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≤2</w:t>
            </w:r>
          </w:p>
        </w:tc>
        <w:tc>
          <w:tcPr>
            <w:tcW w:w="431" w:type="pct"/>
            <w:shd w:val="clear" w:color="auto" w:fill="auto"/>
            <w:vAlign w:val="center"/>
          </w:tcPr>
          <w:p w14:paraId="5A9D3F82">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5</w:t>
            </w:r>
          </w:p>
        </w:tc>
        <w:tc>
          <w:tcPr>
            <w:tcW w:w="387" w:type="pct"/>
            <w:vMerge w:val="restart"/>
            <w:shd w:val="clear" w:color="auto" w:fill="auto"/>
            <w:noWrap/>
            <w:vAlign w:val="center"/>
          </w:tcPr>
          <w:p w14:paraId="5D9A48B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35</w:t>
            </w:r>
          </w:p>
        </w:tc>
      </w:tr>
      <w:tr w14:paraId="541B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8" w:type="pct"/>
            <w:vMerge w:val="continue"/>
          </w:tcPr>
          <w:p w14:paraId="7A0DF2F2">
            <w:pPr>
              <w:widowControl/>
              <w:jc w:val="left"/>
              <w:rPr>
                <w:rFonts w:hint="eastAsia" w:ascii="宋体" w:hAnsi="宋体" w:eastAsia="宋体" w:cs="宋体"/>
                <w:color w:val="000000"/>
                <w:kern w:val="0"/>
                <w:sz w:val="18"/>
                <w:szCs w:val="18"/>
              </w:rPr>
            </w:pPr>
          </w:p>
        </w:tc>
        <w:tc>
          <w:tcPr>
            <w:tcW w:w="505" w:type="pct"/>
            <w:vMerge w:val="continue"/>
            <w:vAlign w:val="center"/>
          </w:tcPr>
          <w:p w14:paraId="042E28F4">
            <w:pPr>
              <w:widowControl/>
              <w:jc w:val="left"/>
              <w:rPr>
                <w:rFonts w:hint="eastAsia" w:ascii="宋体" w:hAnsi="宋体" w:eastAsia="宋体" w:cs="宋体"/>
                <w:color w:val="000000"/>
                <w:kern w:val="0"/>
                <w:sz w:val="18"/>
                <w:szCs w:val="18"/>
              </w:rPr>
            </w:pPr>
          </w:p>
        </w:tc>
        <w:tc>
          <w:tcPr>
            <w:tcW w:w="874" w:type="pct"/>
            <w:vMerge w:val="continue"/>
            <w:vAlign w:val="center"/>
          </w:tcPr>
          <w:p w14:paraId="79E5C692">
            <w:pPr>
              <w:widowControl/>
              <w:jc w:val="left"/>
              <w:rPr>
                <w:rFonts w:hint="eastAsia" w:ascii="宋体" w:hAnsi="宋体" w:eastAsia="宋体" w:cs="宋体"/>
                <w:color w:val="000000"/>
                <w:kern w:val="0"/>
                <w:sz w:val="18"/>
                <w:szCs w:val="18"/>
              </w:rPr>
            </w:pPr>
          </w:p>
        </w:tc>
        <w:tc>
          <w:tcPr>
            <w:tcW w:w="1115" w:type="pct"/>
            <w:vMerge w:val="continue"/>
            <w:vAlign w:val="center"/>
          </w:tcPr>
          <w:p w14:paraId="7EFFB623">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32FB5A85">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(2</w:t>
            </w:r>
            <w:r>
              <w:rPr>
                <w:rStyle w:val="90"/>
                <w:rFonts w:hint="eastAsia" w:ascii="宋体" w:hAnsi="宋体" w:eastAsia="宋体" w:cs="宋体"/>
                <w:sz w:val="18"/>
                <w:szCs w:val="18"/>
              </w:rPr>
              <w:t>，</w:t>
            </w:r>
            <w:r>
              <w:rPr>
                <w:rStyle w:val="91"/>
                <w:rFonts w:hint="default" w:ascii="宋体" w:hAnsi="宋体" w:eastAsia="宋体" w:cs="宋体"/>
                <w:sz w:val="18"/>
                <w:szCs w:val="18"/>
              </w:rPr>
              <w:t>5]</w:t>
            </w:r>
          </w:p>
        </w:tc>
        <w:tc>
          <w:tcPr>
            <w:tcW w:w="431" w:type="pct"/>
            <w:shd w:val="clear" w:color="auto" w:fill="auto"/>
            <w:noWrap/>
            <w:vAlign w:val="center"/>
          </w:tcPr>
          <w:p w14:paraId="6FCC7941">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4</w:t>
            </w:r>
          </w:p>
        </w:tc>
        <w:tc>
          <w:tcPr>
            <w:tcW w:w="387" w:type="pct"/>
            <w:vMerge w:val="continue"/>
            <w:vAlign w:val="center"/>
          </w:tcPr>
          <w:p w14:paraId="1254A3C2">
            <w:pPr>
              <w:widowControl/>
              <w:jc w:val="left"/>
              <w:rPr>
                <w:rFonts w:hint="eastAsia" w:ascii="宋体" w:hAnsi="宋体" w:eastAsia="宋体" w:cs="宋体"/>
                <w:color w:val="000000"/>
                <w:kern w:val="0"/>
                <w:sz w:val="18"/>
                <w:szCs w:val="18"/>
              </w:rPr>
            </w:pPr>
          </w:p>
        </w:tc>
      </w:tr>
      <w:tr w14:paraId="4986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8" w:type="pct"/>
            <w:vMerge w:val="continue"/>
          </w:tcPr>
          <w:p w14:paraId="2C04DBB1">
            <w:pPr>
              <w:widowControl/>
              <w:jc w:val="left"/>
              <w:rPr>
                <w:rFonts w:hint="eastAsia" w:ascii="宋体" w:hAnsi="宋体" w:eastAsia="宋体" w:cs="宋体"/>
                <w:color w:val="000000"/>
                <w:kern w:val="0"/>
                <w:sz w:val="18"/>
                <w:szCs w:val="18"/>
              </w:rPr>
            </w:pPr>
          </w:p>
        </w:tc>
        <w:tc>
          <w:tcPr>
            <w:tcW w:w="505" w:type="pct"/>
            <w:vMerge w:val="continue"/>
            <w:vAlign w:val="center"/>
          </w:tcPr>
          <w:p w14:paraId="516CDCB5">
            <w:pPr>
              <w:widowControl/>
              <w:jc w:val="left"/>
              <w:rPr>
                <w:rFonts w:hint="eastAsia" w:ascii="宋体" w:hAnsi="宋体" w:eastAsia="宋体" w:cs="宋体"/>
                <w:color w:val="000000"/>
                <w:kern w:val="0"/>
                <w:sz w:val="18"/>
                <w:szCs w:val="18"/>
              </w:rPr>
            </w:pPr>
          </w:p>
        </w:tc>
        <w:tc>
          <w:tcPr>
            <w:tcW w:w="874" w:type="pct"/>
            <w:vMerge w:val="continue"/>
            <w:vAlign w:val="center"/>
          </w:tcPr>
          <w:p w14:paraId="585BE990">
            <w:pPr>
              <w:widowControl/>
              <w:jc w:val="left"/>
              <w:rPr>
                <w:rFonts w:hint="eastAsia" w:ascii="宋体" w:hAnsi="宋体" w:eastAsia="宋体" w:cs="宋体"/>
                <w:color w:val="000000"/>
                <w:kern w:val="0"/>
                <w:sz w:val="18"/>
                <w:szCs w:val="18"/>
              </w:rPr>
            </w:pPr>
          </w:p>
        </w:tc>
        <w:tc>
          <w:tcPr>
            <w:tcW w:w="1115" w:type="pct"/>
            <w:vMerge w:val="continue"/>
            <w:vAlign w:val="center"/>
          </w:tcPr>
          <w:p w14:paraId="591C2309">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2778F56D">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(5</w:t>
            </w:r>
            <w:r>
              <w:rPr>
                <w:rStyle w:val="90"/>
                <w:rFonts w:hint="eastAsia" w:ascii="宋体" w:hAnsi="宋体" w:eastAsia="宋体" w:cs="宋体"/>
                <w:sz w:val="18"/>
                <w:szCs w:val="18"/>
              </w:rPr>
              <w:t>，</w:t>
            </w:r>
            <w:r>
              <w:rPr>
                <w:rStyle w:val="91"/>
                <w:rFonts w:hint="default" w:ascii="宋体" w:hAnsi="宋体" w:eastAsia="宋体" w:cs="宋体"/>
                <w:sz w:val="18"/>
                <w:szCs w:val="18"/>
              </w:rPr>
              <w:t>10]</w:t>
            </w:r>
          </w:p>
        </w:tc>
        <w:tc>
          <w:tcPr>
            <w:tcW w:w="431" w:type="pct"/>
            <w:shd w:val="clear" w:color="auto" w:fill="auto"/>
            <w:vAlign w:val="center"/>
          </w:tcPr>
          <w:p w14:paraId="666C1250">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3</w:t>
            </w:r>
          </w:p>
        </w:tc>
        <w:tc>
          <w:tcPr>
            <w:tcW w:w="387" w:type="pct"/>
            <w:vMerge w:val="continue"/>
            <w:vAlign w:val="center"/>
          </w:tcPr>
          <w:p w14:paraId="5B077E59">
            <w:pPr>
              <w:widowControl/>
              <w:jc w:val="left"/>
              <w:rPr>
                <w:rFonts w:hint="eastAsia" w:ascii="宋体" w:hAnsi="宋体" w:eastAsia="宋体" w:cs="宋体"/>
                <w:color w:val="000000"/>
                <w:kern w:val="0"/>
                <w:sz w:val="18"/>
                <w:szCs w:val="18"/>
              </w:rPr>
            </w:pPr>
          </w:p>
        </w:tc>
      </w:tr>
      <w:tr w14:paraId="54DE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8" w:type="pct"/>
            <w:vMerge w:val="continue"/>
          </w:tcPr>
          <w:p w14:paraId="5A9BBC46">
            <w:pPr>
              <w:widowControl/>
              <w:jc w:val="left"/>
              <w:rPr>
                <w:rFonts w:hint="eastAsia" w:ascii="宋体" w:hAnsi="宋体" w:eastAsia="宋体" w:cs="宋体"/>
                <w:color w:val="000000"/>
                <w:kern w:val="0"/>
                <w:sz w:val="18"/>
                <w:szCs w:val="18"/>
              </w:rPr>
            </w:pPr>
          </w:p>
        </w:tc>
        <w:tc>
          <w:tcPr>
            <w:tcW w:w="505" w:type="pct"/>
            <w:vMerge w:val="continue"/>
            <w:vAlign w:val="center"/>
          </w:tcPr>
          <w:p w14:paraId="2392B7CD">
            <w:pPr>
              <w:widowControl/>
              <w:jc w:val="left"/>
              <w:rPr>
                <w:rFonts w:hint="eastAsia" w:ascii="宋体" w:hAnsi="宋体" w:eastAsia="宋体" w:cs="宋体"/>
                <w:color w:val="000000"/>
                <w:kern w:val="0"/>
                <w:sz w:val="18"/>
                <w:szCs w:val="18"/>
              </w:rPr>
            </w:pPr>
          </w:p>
        </w:tc>
        <w:tc>
          <w:tcPr>
            <w:tcW w:w="874" w:type="pct"/>
            <w:vMerge w:val="continue"/>
            <w:vAlign w:val="center"/>
          </w:tcPr>
          <w:p w14:paraId="4EA1FC4D">
            <w:pPr>
              <w:widowControl/>
              <w:jc w:val="left"/>
              <w:rPr>
                <w:rFonts w:hint="eastAsia" w:ascii="宋体" w:hAnsi="宋体" w:eastAsia="宋体" w:cs="宋体"/>
                <w:color w:val="000000"/>
                <w:kern w:val="0"/>
                <w:sz w:val="18"/>
                <w:szCs w:val="18"/>
              </w:rPr>
            </w:pPr>
          </w:p>
        </w:tc>
        <w:tc>
          <w:tcPr>
            <w:tcW w:w="1115" w:type="pct"/>
            <w:vMerge w:val="continue"/>
            <w:vAlign w:val="center"/>
          </w:tcPr>
          <w:p w14:paraId="37590518">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6D252B81">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(10</w:t>
            </w:r>
            <w:r>
              <w:rPr>
                <w:rStyle w:val="90"/>
                <w:rFonts w:hint="eastAsia" w:ascii="宋体" w:hAnsi="宋体" w:eastAsia="宋体" w:cs="宋体"/>
                <w:sz w:val="18"/>
                <w:szCs w:val="18"/>
              </w:rPr>
              <w:t>，</w:t>
            </w:r>
            <w:r>
              <w:rPr>
                <w:rStyle w:val="91"/>
                <w:rFonts w:hint="default" w:ascii="宋体" w:hAnsi="宋体" w:eastAsia="宋体" w:cs="宋体"/>
                <w:sz w:val="18"/>
                <w:szCs w:val="18"/>
              </w:rPr>
              <w:t>15]</w:t>
            </w:r>
          </w:p>
        </w:tc>
        <w:tc>
          <w:tcPr>
            <w:tcW w:w="431" w:type="pct"/>
            <w:shd w:val="clear" w:color="auto" w:fill="auto"/>
            <w:vAlign w:val="center"/>
          </w:tcPr>
          <w:p w14:paraId="4602E022">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2</w:t>
            </w:r>
          </w:p>
        </w:tc>
        <w:tc>
          <w:tcPr>
            <w:tcW w:w="387" w:type="pct"/>
            <w:vMerge w:val="continue"/>
            <w:vAlign w:val="center"/>
          </w:tcPr>
          <w:p w14:paraId="775D6452">
            <w:pPr>
              <w:widowControl/>
              <w:jc w:val="left"/>
              <w:rPr>
                <w:rFonts w:hint="eastAsia" w:ascii="宋体" w:hAnsi="宋体" w:eastAsia="宋体" w:cs="宋体"/>
                <w:color w:val="000000"/>
                <w:kern w:val="0"/>
                <w:sz w:val="18"/>
                <w:szCs w:val="18"/>
              </w:rPr>
            </w:pPr>
          </w:p>
        </w:tc>
      </w:tr>
      <w:tr w14:paraId="6BEB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8" w:type="pct"/>
            <w:vMerge w:val="continue"/>
          </w:tcPr>
          <w:p w14:paraId="79E75BE2">
            <w:pPr>
              <w:widowControl/>
              <w:jc w:val="left"/>
              <w:rPr>
                <w:rFonts w:hint="eastAsia" w:ascii="宋体" w:hAnsi="宋体" w:eastAsia="宋体" w:cs="宋体"/>
                <w:color w:val="000000"/>
                <w:kern w:val="0"/>
                <w:sz w:val="18"/>
                <w:szCs w:val="18"/>
              </w:rPr>
            </w:pPr>
          </w:p>
        </w:tc>
        <w:tc>
          <w:tcPr>
            <w:tcW w:w="505" w:type="pct"/>
            <w:vMerge w:val="continue"/>
            <w:vAlign w:val="center"/>
          </w:tcPr>
          <w:p w14:paraId="3BBCEFA1">
            <w:pPr>
              <w:widowControl/>
              <w:jc w:val="left"/>
              <w:rPr>
                <w:rFonts w:hint="eastAsia" w:ascii="宋体" w:hAnsi="宋体" w:eastAsia="宋体" w:cs="宋体"/>
                <w:color w:val="000000"/>
                <w:kern w:val="0"/>
                <w:sz w:val="18"/>
                <w:szCs w:val="18"/>
              </w:rPr>
            </w:pPr>
          </w:p>
        </w:tc>
        <w:tc>
          <w:tcPr>
            <w:tcW w:w="874" w:type="pct"/>
            <w:vMerge w:val="continue"/>
            <w:vAlign w:val="center"/>
          </w:tcPr>
          <w:p w14:paraId="5A41B726">
            <w:pPr>
              <w:widowControl/>
              <w:jc w:val="left"/>
              <w:rPr>
                <w:rFonts w:hint="eastAsia" w:ascii="宋体" w:hAnsi="宋体" w:eastAsia="宋体" w:cs="宋体"/>
                <w:color w:val="000000"/>
                <w:kern w:val="0"/>
                <w:sz w:val="18"/>
                <w:szCs w:val="18"/>
              </w:rPr>
            </w:pPr>
          </w:p>
        </w:tc>
        <w:tc>
          <w:tcPr>
            <w:tcW w:w="1115" w:type="pct"/>
            <w:vMerge w:val="continue"/>
            <w:vAlign w:val="center"/>
          </w:tcPr>
          <w:p w14:paraId="261C0778">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1C575831">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(15</w:t>
            </w:r>
            <w:r>
              <w:rPr>
                <w:rStyle w:val="90"/>
                <w:rFonts w:hint="eastAsia" w:ascii="宋体" w:hAnsi="宋体" w:eastAsia="宋体" w:cs="宋体"/>
                <w:sz w:val="18"/>
                <w:szCs w:val="18"/>
              </w:rPr>
              <w:t>，</w:t>
            </w:r>
            <w:r>
              <w:rPr>
                <w:rStyle w:val="91"/>
                <w:rFonts w:hint="default" w:ascii="宋体" w:hAnsi="宋体" w:eastAsia="宋体" w:cs="宋体"/>
                <w:sz w:val="18"/>
                <w:szCs w:val="18"/>
              </w:rPr>
              <w:t>30]</w:t>
            </w:r>
          </w:p>
        </w:tc>
        <w:tc>
          <w:tcPr>
            <w:tcW w:w="431" w:type="pct"/>
            <w:shd w:val="clear" w:color="auto" w:fill="auto"/>
            <w:vAlign w:val="center"/>
          </w:tcPr>
          <w:p w14:paraId="5DDF2238">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1</w:t>
            </w:r>
          </w:p>
        </w:tc>
        <w:tc>
          <w:tcPr>
            <w:tcW w:w="387" w:type="pct"/>
            <w:vMerge w:val="continue"/>
            <w:vAlign w:val="center"/>
          </w:tcPr>
          <w:p w14:paraId="5430B70D">
            <w:pPr>
              <w:widowControl/>
              <w:jc w:val="left"/>
              <w:rPr>
                <w:rFonts w:hint="eastAsia" w:ascii="宋体" w:hAnsi="宋体" w:eastAsia="宋体" w:cs="宋体"/>
                <w:color w:val="000000"/>
                <w:kern w:val="0"/>
                <w:sz w:val="18"/>
                <w:szCs w:val="18"/>
              </w:rPr>
            </w:pPr>
          </w:p>
        </w:tc>
      </w:tr>
      <w:tr w14:paraId="794E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3FBA27BB">
            <w:pPr>
              <w:widowControl/>
              <w:jc w:val="left"/>
              <w:rPr>
                <w:rFonts w:hint="eastAsia" w:ascii="宋体" w:hAnsi="宋体" w:eastAsia="宋体" w:cs="宋体"/>
                <w:color w:val="000000"/>
                <w:kern w:val="0"/>
                <w:sz w:val="18"/>
                <w:szCs w:val="18"/>
              </w:rPr>
            </w:pPr>
          </w:p>
        </w:tc>
        <w:tc>
          <w:tcPr>
            <w:tcW w:w="505" w:type="pct"/>
            <w:vMerge w:val="continue"/>
            <w:vAlign w:val="center"/>
          </w:tcPr>
          <w:p w14:paraId="63930022">
            <w:pPr>
              <w:widowControl/>
              <w:jc w:val="left"/>
              <w:rPr>
                <w:rFonts w:hint="eastAsia" w:ascii="宋体" w:hAnsi="宋体" w:eastAsia="宋体" w:cs="宋体"/>
                <w:color w:val="000000"/>
                <w:kern w:val="0"/>
                <w:sz w:val="18"/>
                <w:szCs w:val="18"/>
              </w:rPr>
            </w:pPr>
          </w:p>
        </w:tc>
        <w:tc>
          <w:tcPr>
            <w:tcW w:w="874" w:type="pct"/>
            <w:vMerge w:val="continue"/>
            <w:vAlign w:val="center"/>
          </w:tcPr>
          <w:p w14:paraId="1978F1F8">
            <w:pPr>
              <w:widowControl/>
              <w:jc w:val="left"/>
              <w:rPr>
                <w:rFonts w:hint="eastAsia" w:ascii="宋体" w:hAnsi="宋体" w:eastAsia="宋体" w:cs="宋体"/>
                <w:color w:val="000000"/>
                <w:kern w:val="0"/>
                <w:sz w:val="18"/>
                <w:szCs w:val="18"/>
              </w:rPr>
            </w:pPr>
          </w:p>
        </w:tc>
        <w:tc>
          <w:tcPr>
            <w:tcW w:w="1115" w:type="pct"/>
            <w:vMerge w:val="continue"/>
            <w:vAlign w:val="center"/>
          </w:tcPr>
          <w:p w14:paraId="4FE773DC">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7D54A4AC">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w:t>
            </w:r>
            <w:r>
              <w:rPr>
                <w:rFonts w:ascii="宋体" w:hAnsi="宋体" w:eastAsia="宋体" w:cs="宋体"/>
                <w:color w:val="000000"/>
                <w:sz w:val="18"/>
                <w:szCs w:val="18"/>
              </w:rPr>
              <w:t>30</w:t>
            </w:r>
          </w:p>
        </w:tc>
        <w:tc>
          <w:tcPr>
            <w:tcW w:w="431" w:type="pct"/>
            <w:shd w:val="clear" w:color="auto" w:fill="auto"/>
            <w:vAlign w:val="center"/>
          </w:tcPr>
          <w:p w14:paraId="333E4DF3">
            <w:pPr>
              <w:widowControl/>
              <w:jc w:val="center"/>
              <w:rPr>
                <w:rFonts w:hint="eastAsia" w:ascii="宋体" w:hAnsi="宋体" w:eastAsia="宋体" w:cs="宋体"/>
                <w:color w:val="000000"/>
                <w:kern w:val="0"/>
                <w:sz w:val="18"/>
                <w:szCs w:val="18"/>
              </w:rPr>
            </w:pPr>
            <w:r>
              <w:rPr>
                <w:rFonts w:ascii="宋体" w:hAnsi="宋体" w:eastAsia="宋体" w:cs="宋体"/>
                <w:color w:val="000000"/>
                <w:sz w:val="18"/>
                <w:szCs w:val="18"/>
              </w:rPr>
              <w:t>0</w:t>
            </w:r>
          </w:p>
        </w:tc>
        <w:tc>
          <w:tcPr>
            <w:tcW w:w="387" w:type="pct"/>
            <w:vMerge w:val="continue"/>
            <w:vAlign w:val="center"/>
          </w:tcPr>
          <w:p w14:paraId="784139AB">
            <w:pPr>
              <w:widowControl/>
              <w:jc w:val="left"/>
              <w:rPr>
                <w:rFonts w:hint="eastAsia" w:ascii="宋体" w:hAnsi="宋体" w:eastAsia="宋体" w:cs="宋体"/>
                <w:color w:val="000000"/>
                <w:kern w:val="0"/>
                <w:sz w:val="18"/>
                <w:szCs w:val="18"/>
              </w:rPr>
            </w:pPr>
          </w:p>
        </w:tc>
      </w:tr>
      <w:tr w14:paraId="50A5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49E7A875">
            <w:pPr>
              <w:widowControl/>
              <w:jc w:val="left"/>
              <w:rPr>
                <w:rFonts w:hint="eastAsia" w:ascii="宋体" w:hAnsi="宋体" w:eastAsia="宋体" w:cs="宋体"/>
                <w:color w:val="000000"/>
                <w:kern w:val="0"/>
                <w:sz w:val="18"/>
                <w:szCs w:val="18"/>
              </w:rPr>
            </w:pPr>
          </w:p>
        </w:tc>
        <w:tc>
          <w:tcPr>
            <w:tcW w:w="505" w:type="pct"/>
            <w:vMerge w:val="continue"/>
            <w:vAlign w:val="center"/>
          </w:tcPr>
          <w:p w14:paraId="573673EF">
            <w:pPr>
              <w:widowControl/>
              <w:jc w:val="left"/>
              <w:rPr>
                <w:rFonts w:hint="eastAsia" w:ascii="宋体" w:hAnsi="宋体" w:eastAsia="宋体" w:cs="宋体"/>
                <w:color w:val="000000"/>
                <w:kern w:val="0"/>
                <w:sz w:val="18"/>
                <w:szCs w:val="18"/>
              </w:rPr>
            </w:pPr>
          </w:p>
        </w:tc>
        <w:tc>
          <w:tcPr>
            <w:tcW w:w="874" w:type="pct"/>
            <w:vMerge w:val="continue"/>
            <w:vAlign w:val="center"/>
          </w:tcPr>
          <w:p w14:paraId="5F0A7316">
            <w:pPr>
              <w:widowControl/>
              <w:jc w:val="left"/>
              <w:rPr>
                <w:rFonts w:hint="eastAsia" w:ascii="宋体" w:hAnsi="宋体" w:eastAsia="宋体" w:cs="宋体"/>
                <w:color w:val="000000"/>
                <w:kern w:val="0"/>
                <w:sz w:val="18"/>
                <w:szCs w:val="18"/>
              </w:rPr>
            </w:pPr>
          </w:p>
        </w:tc>
        <w:tc>
          <w:tcPr>
            <w:tcW w:w="1115" w:type="pct"/>
            <w:vMerge w:val="restart"/>
            <w:shd w:val="clear" w:color="auto" w:fill="auto"/>
            <w:vAlign w:val="center"/>
          </w:tcPr>
          <w:p w14:paraId="2EEDF5F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包气带渗透系数（</w:t>
            </w:r>
            <w:r>
              <w:rPr>
                <w:rFonts w:ascii="宋体" w:hAnsi="宋体" w:eastAsia="宋体" w:cs="宋体"/>
                <w:color w:val="000000"/>
                <w:kern w:val="0"/>
                <w:sz w:val="18"/>
                <w:szCs w:val="18"/>
              </w:rPr>
              <w:t>cm/s</w:t>
            </w:r>
            <w:r>
              <w:rPr>
                <w:rFonts w:hint="eastAsia" w:ascii="宋体" w:hAnsi="宋体" w:eastAsia="宋体" w:cs="宋体"/>
                <w:color w:val="000000"/>
                <w:kern w:val="0"/>
                <w:sz w:val="18"/>
                <w:szCs w:val="18"/>
              </w:rPr>
              <w:t>）</w:t>
            </w:r>
          </w:p>
        </w:tc>
        <w:tc>
          <w:tcPr>
            <w:tcW w:w="1226" w:type="pct"/>
            <w:shd w:val="clear" w:color="auto" w:fill="auto"/>
            <w:vAlign w:val="center"/>
          </w:tcPr>
          <w:p w14:paraId="7A02294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10</w:t>
            </w:r>
            <w:r>
              <w:rPr>
                <w:rFonts w:ascii="宋体" w:hAnsi="宋体" w:eastAsia="宋体" w:cs="宋体"/>
                <w:color w:val="000000"/>
                <w:kern w:val="0"/>
                <w:sz w:val="18"/>
                <w:szCs w:val="18"/>
                <w:vertAlign w:val="superscript"/>
              </w:rPr>
              <w:t>-4</w:t>
            </w:r>
          </w:p>
        </w:tc>
        <w:tc>
          <w:tcPr>
            <w:tcW w:w="431" w:type="pct"/>
            <w:shd w:val="clear" w:color="auto" w:fill="auto"/>
            <w:vAlign w:val="center"/>
          </w:tcPr>
          <w:p w14:paraId="3FF637C6">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w:t>
            </w:r>
          </w:p>
        </w:tc>
        <w:tc>
          <w:tcPr>
            <w:tcW w:w="387" w:type="pct"/>
            <w:vMerge w:val="continue"/>
            <w:vAlign w:val="center"/>
          </w:tcPr>
          <w:p w14:paraId="63C67C92">
            <w:pPr>
              <w:widowControl/>
              <w:jc w:val="left"/>
              <w:rPr>
                <w:rFonts w:hint="eastAsia" w:ascii="宋体" w:hAnsi="宋体" w:eastAsia="宋体" w:cs="宋体"/>
                <w:color w:val="000000"/>
                <w:kern w:val="0"/>
                <w:sz w:val="18"/>
                <w:szCs w:val="18"/>
              </w:rPr>
            </w:pPr>
          </w:p>
        </w:tc>
      </w:tr>
      <w:tr w14:paraId="5B72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0654EEAD">
            <w:pPr>
              <w:widowControl/>
              <w:jc w:val="left"/>
              <w:rPr>
                <w:rFonts w:hint="eastAsia" w:ascii="宋体" w:hAnsi="宋体" w:eastAsia="宋体" w:cs="宋体"/>
                <w:color w:val="000000"/>
                <w:kern w:val="0"/>
                <w:sz w:val="18"/>
                <w:szCs w:val="18"/>
              </w:rPr>
            </w:pPr>
          </w:p>
        </w:tc>
        <w:tc>
          <w:tcPr>
            <w:tcW w:w="505" w:type="pct"/>
            <w:vMerge w:val="continue"/>
            <w:vAlign w:val="center"/>
          </w:tcPr>
          <w:p w14:paraId="03551C19">
            <w:pPr>
              <w:widowControl/>
              <w:jc w:val="left"/>
              <w:rPr>
                <w:rFonts w:hint="eastAsia" w:ascii="宋体" w:hAnsi="宋体" w:eastAsia="宋体" w:cs="宋体"/>
                <w:color w:val="000000"/>
                <w:kern w:val="0"/>
                <w:sz w:val="18"/>
                <w:szCs w:val="18"/>
              </w:rPr>
            </w:pPr>
          </w:p>
        </w:tc>
        <w:tc>
          <w:tcPr>
            <w:tcW w:w="874" w:type="pct"/>
            <w:vMerge w:val="continue"/>
            <w:vAlign w:val="center"/>
          </w:tcPr>
          <w:p w14:paraId="732395DD">
            <w:pPr>
              <w:widowControl/>
              <w:jc w:val="left"/>
              <w:rPr>
                <w:rFonts w:hint="eastAsia" w:ascii="宋体" w:hAnsi="宋体" w:eastAsia="宋体" w:cs="宋体"/>
                <w:color w:val="000000"/>
                <w:kern w:val="0"/>
                <w:sz w:val="18"/>
                <w:szCs w:val="18"/>
              </w:rPr>
            </w:pPr>
          </w:p>
        </w:tc>
        <w:tc>
          <w:tcPr>
            <w:tcW w:w="1115" w:type="pct"/>
            <w:vMerge w:val="continue"/>
            <w:vAlign w:val="center"/>
          </w:tcPr>
          <w:p w14:paraId="373934A0">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28A4B9EA">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w:t>
            </w:r>
            <w:r>
              <w:rPr>
                <w:rFonts w:ascii="宋体" w:hAnsi="宋体" w:eastAsia="宋体" w:cs="宋体"/>
                <w:color w:val="000000"/>
                <w:kern w:val="0"/>
                <w:sz w:val="18"/>
                <w:szCs w:val="18"/>
                <w:vertAlign w:val="superscript"/>
              </w:rPr>
              <w:t>-6</w:t>
            </w: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10</w:t>
            </w:r>
            <w:r>
              <w:rPr>
                <w:rFonts w:ascii="宋体" w:hAnsi="宋体" w:eastAsia="宋体" w:cs="宋体"/>
                <w:color w:val="000000"/>
                <w:kern w:val="0"/>
                <w:sz w:val="18"/>
                <w:szCs w:val="18"/>
                <w:vertAlign w:val="superscript"/>
              </w:rPr>
              <w:t>-4</w:t>
            </w:r>
            <w:r>
              <w:rPr>
                <w:rFonts w:ascii="宋体" w:hAnsi="宋体" w:eastAsia="宋体" w:cs="宋体"/>
                <w:color w:val="000000"/>
                <w:kern w:val="0"/>
                <w:sz w:val="18"/>
                <w:szCs w:val="18"/>
              </w:rPr>
              <w:t>]</w:t>
            </w:r>
          </w:p>
        </w:tc>
        <w:tc>
          <w:tcPr>
            <w:tcW w:w="431" w:type="pct"/>
            <w:shd w:val="clear" w:color="auto" w:fill="auto"/>
            <w:vAlign w:val="center"/>
          </w:tcPr>
          <w:p w14:paraId="527D0D0A">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w:t>
            </w:r>
          </w:p>
        </w:tc>
        <w:tc>
          <w:tcPr>
            <w:tcW w:w="387" w:type="pct"/>
            <w:vMerge w:val="continue"/>
            <w:vAlign w:val="center"/>
          </w:tcPr>
          <w:p w14:paraId="226A19F7">
            <w:pPr>
              <w:widowControl/>
              <w:jc w:val="left"/>
              <w:rPr>
                <w:rFonts w:hint="eastAsia" w:ascii="宋体" w:hAnsi="宋体" w:eastAsia="宋体" w:cs="宋体"/>
                <w:color w:val="000000"/>
                <w:kern w:val="0"/>
                <w:sz w:val="18"/>
                <w:szCs w:val="18"/>
              </w:rPr>
            </w:pPr>
          </w:p>
        </w:tc>
      </w:tr>
      <w:tr w14:paraId="0FB0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6388BFF1">
            <w:pPr>
              <w:widowControl/>
              <w:jc w:val="left"/>
              <w:rPr>
                <w:rFonts w:hint="eastAsia" w:ascii="宋体" w:hAnsi="宋体" w:eastAsia="宋体" w:cs="宋体"/>
                <w:color w:val="000000"/>
                <w:kern w:val="0"/>
                <w:sz w:val="18"/>
                <w:szCs w:val="18"/>
              </w:rPr>
            </w:pPr>
          </w:p>
        </w:tc>
        <w:tc>
          <w:tcPr>
            <w:tcW w:w="505" w:type="pct"/>
            <w:vMerge w:val="continue"/>
            <w:vAlign w:val="center"/>
          </w:tcPr>
          <w:p w14:paraId="1038743E">
            <w:pPr>
              <w:widowControl/>
              <w:jc w:val="left"/>
              <w:rPr>
                <w:rFonts w:hint="eastAsia" w:ascii="宋体" w:hAnsi="宋体" w:eastAsia="宋体" w:cs="宋体"/>
                <w:color w:val="000000"/>
                <w:kern w:val="0"/>
                <w:sz w:val="18"/>
                <w:szCs w:val="18"/>
              </w:rPr>
            </w:pPr>
          </w:p>
        </w:tc>
        <w:tc>
          <w:tcPr>
            <w:tcW w:w="874" w:type="pct"/>
            <w:vMerge w:val="continue"/>
            <w:vAlign w:val="center"/>
          </w:tcPr>
          <w:p w14:paraId="60D03362">
            <w:pPr>
              <w:widowControl/>
              <w:jc w:val="left"/>
              <w:rPr>
                <w:rFonts w:hint="eastAsia" w:ascii="宋体" w:hAnsi="宋体" w:eastAsia="宋体" w:cs="宋体"/>
                <w:color w:val="000000"/>
                <w:kern w:val="0"/>
                <w:sz w:val="18"/>
                <w:szCs w:val="18"/>
              </w:rPr>
            </w:pPr>
          </w:p>
        </w:tc>
        <w:tc>
          <w:tcPr>
            <w:tcW w:w="1115" w:type="pct"/>
            <w:vMerge w:val="continue"/>
            <w:vAlign w:val="center"/>
          </w:tcPr>
          <w:p w14:paraId="2E500DAB">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5029358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10</w:t>
            </w:r>
            <w:r>
              <w:rPr>
                <w:rFonts w:ascii="宋体" w:hAnsi="宋体" w:eastAsia="宋体" w:cs="宋体"/>
                <w:color w:val="000000"/>
                <w:kern w:val="0"/>
                <w:sz w:val="18"/>
                <w:szCs w:val="18"/>
                <w:vertAlign w:val="superscript"/>
              </w:rPr>
              <w:t>-6</w:t>
            </w:r>
          </w:p>
        </w:tc>
        <w:tc>
          <w:tcPr>
            <w:tcW w:w="431" w:type="pct"/>
            <w:shd w:val="clear" w:color="auto" w:fill="auto"/>
            <w:vAlign w:val="center"/>
          </w:tcPr>
          <w:p w14:paraId="57F694A4">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w:t>
            </w:r>
          </w:p>
        </w:tc>
        <w:tc>
          <w:tcPr>
            <w:tcW w:w="387" w:type="pct"/>
            <w:vMerge w:val="continue"/>
            <w:vAlign w:val="center"/>
          </w:tcPr>
          <w:p w14:paraId="29B13E4E">
            <w:pPr>
              <w:widowControl/>
              <w:jc w:val="left"/>
              <w:rPr>
                <w:rFonts w:hint="eastAsia" w:ascii="宋体" w:hAnsi="宋体" w:eastAsia="宋体" w:cs="宋体"/>
                <w:color w:val="000000"/>
                <w:kern w:val="0"/>
                <w:sz w:val="18"/>
                <w:szCs w:val="18"/>
              </w:rPr>
            </w:pPr>
          </w:p>
        </w:tc>
      </w:tr>
      <w:tr w14:paraId="47C7C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70947E14">
            <w:pPr>
              <w:widowControl/>
              <w:jc w:val="left"/>
              <w:rPr>
                <w:rFonts w:hint="eastAsia" w:ascii="宋体" w:hAnsi="宋体" w:eastAsia="宋体" w:cs="宋体"/>
                <w:color w:val="000000"/>
                <w:kern w:val="0"/>
                <w:sz w:val="18"/>
                <w:szCs w:val="18"/>
              </w:rPr>
            </w:pPr>
          </w:p>
        </w:tc>
        <w:tc>
          <w:tcPr>
            <w:tcW w:w="505" w:type="pct"/>
            <w:vMerge w:val="continue"/>
            <w:vAlign w:val="center"/>
          </w:tcPr>
          <w:p w14:paraId="0BB5AD92">
            <w:pPr>
              <w:widowControl/>
              <w:jc w:val="left"/>
              <w:rPr>
                <w:rFonts w:hint="eastAsia" w:ascii="宋体" w:hAnsi="宋体" w:eastAsia="宋体" w:cs="宋体"/>
                <w:color w:val="000000"/>
                <w:kern w:val="0"/>
                <w:sz w:val="18"/>
                <w:szCs w:val="18"/>
              </w:rPr>
            </w:pPr>
          </w:p>
        </w:tc>
        <w:tc>
          <w:tcPr>
            <w:tcW w:w="874" w:type="pct"/>
            <w:vMerge w:val="continue"/>
            <w:vAlign w:val="center"/>
          </w:tcPr>
          <w:p w14:paraId="53D06785">
            <w:pPr>
              <w:widowControl/>
              <w:jc w:val="left"/>
              <w:rPr>
                <w:rFonts w:hint="eastAsia" w:ascii="宋体" w:hAnsi="宋体" w:eastAsia="宋体" w:cs="宋体"/>
                <w:color w:val="000000"/>
                <w:kern w:val="0"/>
                <w:sz w:val="18"/>
                <w:szCs w:val="18"/>
              </w:rPr>
            </w:pPr>
          </w:p>
        </w:tc>
        <w:tc>
          <w:tcPr>
            <w:tcW w:w="1115" w:type="pct"/>
            <w:vMerge w:val="restart"/>
            <w:shd w:val="clear" w:color="auto" w:fill="auto"/>
            <w:vAlign w:val="center"/>
          </w:tcPr>
          <w:p w14:paraId="7D203CF8">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含水层渗透系数（m/d）</w:t>
            </w:r>
          </w:p>
        </w:tc>
        <w:tc>
          <w:tcPr>
            <w:tcW w:w="1226" w:type="pct"/>
            <w:shd w:val="clear" w:color="auto" w:fill="auto"/>
            <w:vAlign w:val="center"/>
          </w:tcPr>
          <w:p w14:paraId="58CFE64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&gt;200</w:t>
            </w:r>
          </w:p>
        </w:tc>
        <w:tc>
          <w:tcPr>
            <w:tcW w:w="431" w:type="pct"/>
            <w:shd w:val="clear" w:color="auto" w:fill="auto"/>
            <w:vAlign w:val="center"/>
          </w:tcPr>
          <w:p w14:paraId="3AC16F08">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w:t>
            </w:r>
          </w:p>
        </w:tc>
        <w:tc>
          <w:tcPr>
            <w:tcW w:w="387" w:type="pct"/>
            <w:vMerge w:val="continue"/>
            <w:vAlign w:val="center"/>
          </w:tcPr>
          <w:p w14:paraId="29CD65D1">
            <w:pPr>
              <w:widowControl/>
              <w:jc w:val="left"/>
              <w:rPr>
                <w:rFonts w:hint="eastAsia" w:ascii="宋体" w:hAnsi="宋体" w:eastAsia="宋体" w:cs="宋体"/>
                <w:color w:val="000000"/>
                <w:kern w:val="0"/>
                <w:sz w:val="18"/>
                <w:szCs w:val="18"/>
              </w:rPr>
            </w:pPr>
          </w:p>
        </w:tc>
      </w:tr>
      <w:tr w14:paraId="5440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568D3DFB">
            <w:pPr>
              <w:widowControl/>
              <w:jc w:val="left"/>
              <w:rPr>
                <w:rFonts w:hint="eastAsia" w:ascii="宋体" w:hAnsi="宋体" w:eastAsia="宋体" w:cs="宋体"/>
                <w:color w:val="000000"/>
                <w:kern w:val="0"/>
                <w:sz w:val="18"/>
                <w:szCs w:val="18"/>
              </w:rPr>
            </w:pPr>
          </w:p>
        </w:tc>
        <w:tc>
          <w:tcPr>
            <w:tcW w:w="505" w:type="pct"/>
            <w:vMerge w:val="continue"/>
            <w:vAlign w:val="center"/>
          </w:tcPr>
          <w:p w14:paraId="038FB2C2">
            <w:pPr>
              <w:widowControl/>
              <w:jc w:val="left"/>
              <w:rPr>
                <w:rFonts w:hint="eastAsia" w:ascii="宋体" w:hAnsi="宋体" w:eastAsia="宋体" w:cs="宋体"/>
                <w:color w:val="000000"/>
                <w:kern w:val="0"/>
                <w:sz w:val="18"/>
                <w:szCs w:val="18"/>
              </w:rPr>
            </w:pPr>
          </w:p>
        </w:tc>
        <w:tc>
          <w:tcPr>
            <w:tcW w:w="874" w:type="pct"/>
            <w:vMerge w:val="continue"/>
            <w:vAlign w:val="center"/>
          </w:tcPr>
          <w:p w14:paraId="3AC97785">
            <w:pPr>
              <w:widowControl/>
              <w:jc w:val="left"/>
              <w:rPr>
                <w:rFonts w:hint="eastAsia" w:ascii="宋体" w:hAnsi="宋体" w:eastAsia="宋体" w:cs="宋体"/>
                <w:color w:val="000000"/>
                <w:kern w:val="0"/>
                <w:sz w:val="18"/>
                <w:szCs w:val="18"/>
              </w:rPr>
            </w:pPr>
          </w:p>
        </w:tc>
        <w:tc>
          <w:tcPr>
            <w:tcW w:w="1115" w:type="pct"/>
            <w:vMerge w:val="continue"/>
            <w:vAlign w:val="center"/>
          </w:tcPr>
          <w:p w14:paraId="5DFB0840">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02785E6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(10，200]</w:t>
            </w:r>
          </w:p>
        </w:tc>
        <w:tc>
          <w:tcPr>
            <w:tcW w:w="431" w:type="pct"/>
            <w:shd w:val="clear" w:color="auto" w:fill="auto"/>
            <w:vAlign w:val="center"/>
          </w:tcPr>
          <w:p w14:paraId="5ECAAFD8">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4</w:t>
            </w:r>
          </w:p>
        </w:tc>
        <w:tc>
          <w:tcPr>
            <w:tcW w:w="387" w:type="pct"/>
            <w:vMerge w:val="continue"/>
            <w:vAlign w:val="center"/>
          </w:tcPr>
          <w:p w14:paraId="20C8D92D">
            <w:pPr>
              <w:widowControl/>
              <w:jc w:val="left"/>
              <w:rPr>
                <w:rFonts w:hint="eastAsia" w:ascii="宋体" w:hAnsi="宋体" w:eastAsia="宋体" w:cs="宋体"/>
                <w:color w:val="000000"/>
                <w:kern w:val="0"/>
                <w:sz w:val="18"/>
                <w:szCs w:val="18"/>
              </w:rPr>
            </w:pPr>
          </w:p>
        </w:tc>
      </w:tr>
      <w:tr w14:paraId="58C3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40DB7EF9">
            <w:pPr>
              <w:widowControl/>
              <w:jc w:val="left"/>
              <w:rPr>
                <w:rFonts w:hint="eastAsia" w:ascii="宋体" w:hAnsi="宋体" w:eastAsia="宋体" w:cs="宋体"/>
                <w:color w:val="000000"/>
                <w:kern w:val="0"/>
                <w:sz w:val="18"/>
                <w:szCs w:val="18"/>
              </w:rPr>
            </w:pPr>
          </w:p>
        </w:tc>
        <w:tc>
          <w:tcPr>
            <w:tcW w:w="505" w:type="pct"/>
            <w:vMerge w:val="continue"/>
            <w:vAlign w:val="center"/>
          </w:tcPr>
          <w:p w14:paraId="3FA2DE17">
            <w:pPr>
              <w:widowControl/>
              <w:jc w:val="left"/>
              <w:rPr>
                <w:rFonts w:hint="eastAsia" w:ascii="宋体" w:hAnsi="宋体" w:eastAsia="宋体" w:cs="宋体"/>
                <w:color w:val="000000"/>
                <w:kern w:val="0"/>
                <w:sz w:val="18"/>
                <w:szCs w:val="18"/>
              </w:rPr>
            </w:pPr>
          </w:p>
        </w:tc>
        <w:tc>
          <w:tcPr>
            <w:tcW w:w="874" w:type="pct"/>
            <w:vMerge w:val="continue"/>
            <w:vAlign w:val="center"/>
          </w:tcPr>
          <w:p w14:paraId="662EE4B5">
            <w:pPr>
              <w:widowControl/>
              <w:jc w:val="left"/>
              <w:rPr>
                <w:rFonts w:hint="eastAsia" w:ascii="宋体" w:hAnsi="宋体" w:eastAsia="宋体" w:cs="宋体"/>
                <w:color w:val="000000"/>
                <w:kern w:val="0"/>
                <w:sz w:val="18"/>
                <w:szCs w:val="18"/>
              </w:rPr>
            </w:pPr>
          </w:p>
        </w:tc>
        <w:tc>
          <w:tcPr>
            <w:tcW w:w="1115" w:type="pct"/>
            <w:vMerge w:val="continue"/>
            <w:vAlign w:val="center"/>
          </w:tcPr>
          <w:p w14:paraId="3008D11E">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5D4B2BD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(1，10]</w:t>
            </w:r>
          </w:p>
        </w:tc>
        <w:tc>
          <w:tcPr>
            <w:tcW w:w="431" w:type="pct"/>
            <w:shd w:val="clear" w:color="auto" w:fill="auto"/>
            <w:vAlign w:val="center"/>
          </w:tcPr>
          <w:p w14:paraId="27DCA215">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w:t>
            </w:r>
          </w:p>
        </w:tc>
        <w:tc>
          <w:tcPr>
            <w:tcW w:w="387" w:type="pct"/>
            <w:vMerge w:val="continue"/>
            <w:vAlign w:val="center"/>
          </w:tcPr>
          <w:p w14:paraId="5642B919">
            <w:pPr>
              <w:widowControl/>
              <w:jc w:val="left"/>
              <w:rPr>
                <w:rFonts w:hint="eastAsia" w:ascii="宋体" w:hAnsi="宋体" w:eastAsia="宋体" w:cs="宋体"/>
                <w:color w:val="000000"/>
                <w:kern w:val="0"/>
                <w:sz w:val="18"/>
                <w:szCs w:val="18"/>
              </w:rPr>
            </w:pPr>
          </w:p>
        </w:tc>
      </w:tr>
      <w:tr w14:paraId="19FFC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6C943353">
            <w:pPr>
              <w:widowControl/>
              <w:jc w:val="left"/>
              <w:rPr>
                <w:rFonts w:hint="eastAsia" w:ascii="宋体" w:hAnsi="宋体" w:eastAsia="宋体" w:cs="宋体"/>
                <w:color w:val="000000"/>
                <w:kern w:val="0"/>
                <w:sz w:val="18"/>
                <w:szCs w:val="18"/>
              </w:rPr>
            </w:pPr>
          </w:p>
        </w:tc>
        <w:tc>
          <w:tcPr>
            <w:tcW w:w="505" w:type="pct"/>
            <w:vMerge w:val="continue"/>
            <w:vAlign w:val="center"/>
          </w:tcPr>
          <w:p w14:paraId="0C81E35A">
            <w:pPr>
              <w:widowControl/>
              <w:jc w:val="left"/>
              <w:rPr>
                <w:rFonts w:hint="eastAsia" w:ascii="宋体" w:hAnsi="宋体" w:eastAsia="宋体" w:cs="宋体"/>
                <w:color w:val="000000"/>
                <w:kern w:val="0"/>
                <w:sz w:val="18"/>
                <w:szCs w:val="18"/>
              </w:rPr>
            </w:pPr>
          </w:p>
        </w:tc>
        <w:tc>
          <w:tcPr>
            <w:tcW w:w="874" w:type="pct"/>
            <w:vMerge w:val="continue"/>
            <w:vAlign w:val="center"/>
          </w:tcPr>
          <w:p w14:paraId="6DFBB242">
            <w:pPr>
              <w:widowControl/>
              <w:jc w:val="left"/>
              <w:rPr>
                <w:rFonts w:hint="eastAsia" w:ascii="宋体" w:hAnsi="宋体" w:eastAsia="宋体" w:cs="宋体"/>
                <w:color w:val="000000"/>
                <w:kern w:val="0"/>
                <w:sz w:val="18"/>
                <w:szCs w:val="18"/>
              </w:rPr>
            </w:pPr>
          </w:p>
        </w:tc>
        <w:tc>
          <w:tcPr>
            <w:tcW w:w="1115" w:type="pct"/>
            <w:vMerge w:val="continue"/>
            <w:vAlign w:val="center"/>
          </w:tcPr>
          <w:p w14:paraId="6BF28183">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515F826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(0.01，1]</w:t>
            </w:r>
          </w:p>
        </w:tc>
        <w:tc>
          <w:tcPr>
            <w:tcW w:w="431" w:type="pct"/>
            <w:shd w:val="clear" w:color="auto" w:fill="auto"/>
            <w:vAlign w:val="center"/>
          </w:tcPr>
          <w:p w14:paraId="5819FD49">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w:t>
            </w:r>
          </w:p>
        </w:tc>
        <w:tc>
          <w:tcPr>
            <w:tcW w:w="387" w:type="pct"/>
            <w:vMerge w:val="continue"/>
            <w:vAlign w:val="center"/>
          </w:tcPr>
          <w:p w14:paraId="7816B3E1">
            <w:pPr>
              <w:widowControl/>
              <w:jc w:val="left"/>
              <w:rPr>
                <w:rFonts w:hint="eastAsia" w:ascii="宋体" w:hAnsi="宋体" w:eastAsia="宋体" w:cs="宋体"/>
                <w:color w:val="000000"/>
                <w:kern w:val="0"/>
                <w:sz w:val="18"/>
                <w:szCs w:val="18"/>
              </w:rPr>
            </w:pPr>
          </w:p>
        </w:tc>
      </w:tr>
      <w:tr w14:paraId="35FF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03A3316C">
            <w:pPr>
              <w:widowControl/>
              <w:jc w:val="left"/>
              <w:rPr>
                <w:rFonts w:hint="eastAsia" w:ascii="宋体" w:hAnsi="宋体" w:eastAsia="宋体" w:cs="宋体"/>
                <w:color w:val="000000"/>
                <w:kern w:val="0"/>
                <w:sz w:val="18"/>
                <w:szCs w:val="18"/>
              </w:rPr>
            </w:pPr>
          </w:p>
        </w:tc>
        <w:tc>
          <w:tcPr>
            <w:tcW w:w="505" w:type="pct"/>
            <w:vMerge w:val="continue"/>
            <w:vAlign w:val="center"/>
          </w:tcPr>
          <w:p w14:paraId="26ABADB0">
            <w:pPr>
              <w:widowControl/>
              <w:jc w:val="left"/>
              <w:rPr>
                <w:rFonts w:hint="eastAsia" w:ascii="宋体" w:hAnsi="宋体" w:eastAsia="宋体" w:cs="宋体"/>
                <w:color w:val="000000"/>
                <w:kern w:val="0"/>
                <w:sz w:val="18"/>
                <w:szCs w:val="18"/>
              </w:rPr>
            </w:pPr>
          </w:p>
        </w:tc>
        <w:tc>
          <w:tcPr>
            <w:tcW w:w="874" w:type="pct"/>
            <w:vMerge w:val="continue"/>
            <w:vAlign w:val="center"/>
          </w:tcPr>
          <w:p w14:paraId="23330E48">
            <w:pPr>
              <w:widowControl/>
              <w:jc w:val="left"/>
              <w:rPr>
                <w:rFonts w:hint="eastAsia" w:ascii="宋体" w:hAnsi="宋体" w:eastAsia="宋体" w:cs="宋体"/>
                <w:color w:val="000000"/>
                <w:kern w:val="0"/>
                <w:sz w:val="18"/>
                <w:szCs w:val="18"/>
              </w:rPr>
            </w:pPr>
          </w:p>
        </w:tc>
        <w:tc>
          <w:tcPr>
            <w:tcW w:w="1115" w:type="pct"/>
            <w:vMerge w:val="continue"/>
            <w:vAlign w:val="center"/>
          </w:tcPr>
          <w:p w14:paraId="78B7B5B9">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3AC364A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≤0.01</w:t>
            </w:r>
          </w:p>
        </w:tc>
        <w:tc>
          <w:tcPr>
            <w:tcW w:w="431" w:type="pct"/>
            <w:shd w:val="clear" w:color="auto" w:fill="auto"/>
            <w:vAlign w:val="center"/>
          </w:tcPr>
          <w:p w14:paraId="74FA4565">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w:t>
            </w:r>
          </w:p>
        </w:tc>
        <w:tc>
          <w:tcPr>
            <w:tcW w:w="387" w:type="pct"/>
            <w:vMerge w:val="continue"/>
            <w:vAlign w:val="center"/>
          </w:tcPr>
          <w:p w14:paraId="404519E5">
            <w:pPr>
              <w:widowControl/>
              <w:jc w:val="left"/>
              <w:rPr>
                <w:rFonts w:hint="eastAsia" w:ascii="宋体" w:hAnsi="宋体" w:eastAsia="宋体" w:cs="宋体"/>
                <w:color w:val="000000"/>
                <w:kern w:val="0"/>
                <w:sz w:val="18"/>
                <w:szCs w:val="18"/>
              </w:rPr>
            </w:pPr>
          </w:p>
        </w:tc>
      </w:tr>
      <w:tr w14:paraId="0BEE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1AE3D49E">
            <w:pPr>
              <w:widowControl/>
              <w:jc w:val="left"/>
              <w:rPr>
                <w:rFonts w:hint="eastAsia" w:ascii="宋体" w:hAnsi="宋体" w:eastAsia="宋体" w:cs="宋体"/>
                <w:color w:val="000000"/>
                <w:kern w:val="0"/>
                <w:sz w:val="18"/>
                <w:szCs w:val="18"/>
              </w:rPr>
            </w:pPr>
          </w:p>
        </w:tc>
        <w:tc>
          <w:tcPr>
            <w:tcW w:w="505" w:type="pct"/>
            <w:vMerge w:val="continue"/>
            <w:vAlign w:val="center"/>
          </w:tcPr>
          <w:p w14:paraId="316070B7">
            <w:pPr>
              <w:widowControl/>
              <w:jc w:val="left"/>
              <w:rPr>
                <w:rFonts w:hint="eastAsia" w:ascii="宋体" w:hAnsi="宋体" w:eastAsia="宋体" w:cs="宋体"/>
                <w:color w:val="000000"/>
                <w:kern w:val="0"/>
                <w:sz w:val="18"/>
                <w:szCs w:val="18"/>
              </w:rPr>
            </w:pPr>
          </w:p>
        </w:tc>
        <w:tc>
          <w:tcPr>
            <w:tcW w:w="874" w:type="pct"/>
            <w:vMerge w:val="restart"/>
            <w:shd w:val="clear" w:color="auto" w:fill="auto"/>
            <w:vAlign w:val="center"/>
          </w:tcPr>
          <w:p w14:paraId="5BD0E29D">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地下水污染物迁移性</w:t>
            </w:r>
          </w:p>
        </w:tc>
        <w:tc>
          <w:tcPr>
            <w:tcW w:w="1115" w:type="pct"/>
            <w:vMerge w:val="restart"/>
            <w:shd w:val="clear" w:color="auto" w:fill="auto"/>
            <w:vAlign w:val="center"/>
          </w:tcPr>
          <w:p w14:paraId="77927B78">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地下水污染范围</w:t>
            </w:r>
          </w:p>
        </w:tc>
        <w:tc>
          <w:tcPr>
            <w:tcW w:w="1226" w:type="pct"/>
            <w:shd w:val="clear" w:color="auto" w:fill="auto"/>
            <w:vAlign w:val="center"/>
          </w:tcPr>
          <w:p w14:paraId="4997B40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特征污染物污染羽超过风险单元边界</w:t>
            </w:r>
          </w:p>
        </w:tc>
        <w:tc>
          <w:tcPr>
            <w:tcW w:w="431" w:type="pct"/>
            <w:shd w:val="clear" w:color="auto" w:fill="auto"/>
            <w:noWrap/>
            <w:vAlign w:val="center"/>
          </w:tcPr>
          <w:p w14:paraId="5BE1B606">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w:t>
            </w:r>
          </w:p>
        </w:tc>
        <w:tc>
          <w:tcPr>
            <w:tcW w:w="387" w:type="pct"/>
            <w:vMerge w:val="continue"/>
            <w:vAlign w:val="center"/>
          </w:tcPr>
          <w:p w14:paraId="7D10E356">
            <w:pPr>
              <w:widowControl/>
              <w:jc w:val="left"/>
              <w:rPr>
                <w:rFonts w:hint="eastAsia" w:ascii="宋体" w:hAnsi="宋体" w:eastAsia="宋体" w:cs="宋体"/>
                <w:color w:val="000000"/>
                <w:kern w:val="0"/>
                <w:sz w:val="18"/>
                <w:szCs w:val="18"/>
              </w:rPr>
            </w:pPr>
          </w:p>
        </w:tc>
      </w:tr>
      <w:tr w14:paraId="2B2A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503EEE1C">
            <w:pPr>
              <w:widowControl/>
              <w:jc w:val="left"/>
              <w:rPr>
                <w:rFonts w:hint="eastAsia" w:ascii="宋体" w:hAnsi="宋体" w:eastAsia="宋体" w:cs="宋体"/>
                <w:color w:val="000000"/>
                <w:kern w:val="0"/>
                <w:sz w:val="18"/>
                <w:szCs w:val="18"/>
              </w:rPr>
            </w:pPr>
          </w:p>
        </w:tc>
        <w:tc>
          <w:tcPr>
            <w:tcW w:w="505" w:type="pct"/>
            <w:vMerge w:val="continue"/>
            <w:vAlign w:val="center"/>
          </w:tcPr>
          <w:p w14:paraId="194197F8">
            <w:pPr>
              <w:widowControl/>
              <w:jc w:val="left"/>
              <w:rPr>
                <w:rFonts w:hint="eastAsia" w:ascii="宋体" w:hAnsi="宋体" w:eastAsia="宋体" w:cs="宋体"/>
                <w:color w:val="000000"/>
                <w:kern w:val="0"/>
                <w:sz w:val="18"/>
                <w:szCs w:val="18"/>
              </w:rPr>
            </w:pPr>
          </w:p>
        </w:tc>
        <w:tc>
          <w:tcPr>
            <w:tcW w:w="874" w:type="pct"/>
            <w:vMerge w:val="continue"/>
            <w:vAlign w:val="center"/>
          </w:tcPr>
          <w:p w14:paraId="046FB8E0">
            <w:pPr>
              <w:widowControl/>
              <w:jc w:val="left"/>
              <w:rPr>
                <w:rFonts w:hint="eastAsia" w:ascii="宋体" w:hAnsi="宋体" w:eastAsia="宋体" w:cs="宋体"/>
                <w:color w:val="000000"/>
                <w:kern w:val="0"/>
                <w:sz w:val="18"/>
                <w:szCs w:val="18"/>
              </w:rPr>
            </w:pPr>
          </w:p>
        </w:tc>
        <w:tc>
          <w:tcPr>
            <w:tcW w:w="1115" w:type="pct"/>
            <w:vMerge w:val="continue"/>
            <w:vAlign w:val="center"/>
          </w:tcPr>
          <w:p w14:paraId="4D140A31">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14D7E91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特征污染物污染羽未超过风险单元边界</w:t>
            </w:r>
          </w:p>
        </w:tc>
        <w:tc>
          <w:tcPr>
            <w:tcW w:w="431" w:type="pct"/>
            <w:shd w:val="clear" w:color="auto" w:fill="auto"/>
            <w:noWrap/>
            <w:vAlign w:val="center"/>
          </w:tcPr>
          <w:p w14:paraId="3A15274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w:t>
            </w:r>
          </w:p>
        </w:tc>
        <w:tc>
          <w:tcPr>
            <w:tcW w:w="387" w:type="pct"/>
            <w:vMerge w:val="continue"/>
            <w:vAlign w:val="center"/>
          </w:tcPr>
          <w:p w14:paraId="5890195E">
            <w:pPr>
              <w:widowControl/>
              <w:jc w:val="left"/>
              <w:rPr>
                <w:rFonts w:hint="eastAsia" w:ascii="宋体" w:hAnsi="宋体" w:eastAsia="宋体" w:cs="宋体"/>
                <w:color w:val="000000"/>
                <w:kern w:val="0"/>
                <w:sz w:val="18"/>
                <w:szCs w:val="18"/>
              </w:rPr>
            </w:pPr>
          </w:p>
        </w:tc>
      </w:tr>
      <w:tr w14:paraId="49B7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08DFAF20">
            <w:pPr>
              <w:widowControl/>
              <w:jc w:val="left"/>
              <w:rPr>
                <w:rFonts w:hint="eastAsia" w:ascii="宋体" w:hAnsi="宋体" w:eastAsia="宋体" w:cs="宋体"/>
                <w:color w:val="000000"/>
                <w:kern w:val="0"/>
                <w:sz w:val="18"/>
                <w:szCs w:val="18"/>
              </w:rPr>
            </w:pPr>
          </w:p>
        </w:tc>
        <w:tc>
          <w:tcPr>
            <w:tcW w:w="505" w:type="pct"/>
            <w:vMerge w:val="continue"/>
            <w:vAlign w:val="center"/>
          </w:tcPr>
          <w:p w14:paraId="084E1314">
            <w:pPr>
              <w:widowControl/>
              <w:jc w:val="left"/>
              <w:rPr>
                <w:rFonts w:hint="eastAsia" w:ascii="宋体" w:hAnsi="宋体" w:eastAsia="宋体" w:cs="宋体"/>
                <w:color w:val="000000"/>
                <w:kern w:val="0"/>
                <w:sz w:val="18"/>
                <w:szCs w:val="18"/>
              </w:rPr>
            </w:pPr>
          </w:p>
        </w:tc>
        <w:tc>
          <w:tcPr>
            <w:tcW w:w="874" w:type="pct"/>
            <w:vMerge w:val="continue"/>
            <w:vAlign w:val="center"/>
          </w:tcPr>
          <w:p w14:paraId="363E9F70">
            <w:pPr>
              <w:widowControl/>
              <w:jc w:val="left"/>
              <w:rPr>
                <w:rFonts w:hint="eastAsia" w:ascii="宋体" w:hAnsi="宋体" w:eastAsia="宋体" w:cs="宋体"/>
                <w:color w:val="000000"/>
                <w:kern w:val="0"/>
                <w:sz w:val="18"/>
                <w:szCs w:val="18"/>
              </w:rPr>
            </w:pPr>
          </w:p>
        </w:tc>
        <w:tc>
          <w:tcPr>
            <w:tcW w:w="1115" w:type="pct"/>
            <w:vMerge w:val="restart"/>
            <w:shd w:val="clear" w:color="auto" w:fill="auto"/>
            <w:vAlign w:val="center"/>
          </w:tcPr>
          <w:p w14:paraId="1B7755D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地下水污染倍数</w:t>
            </w:r>
          </w:p>
        </w:tc>
        <w:tc>
          <w:tcPr>
            <w:tcW w:w="1226" w:type="pct"/>
            <w:shd w:val="clear" w:color="auto" w:fill="auto"/>
            <w:vAlign w:val="center"/>
          </w:tcPr>
          <w:p w14:paraId="4C25F8B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r>
              <w:rPr>
                <w:rFonts w:ascii="宋体" w:hAnsi="宋体" w:eastAsia="宋体" w:cs="宋体"/>
                <w:color w:val="000000"/>
                <w:kern w:val="0"/>
                <w:sz w:val="18"/>
                <w:szCs w:val="18"/>
              </w:rPr>
              <w:t>3.0</w:t>
            </w:r>
          </w:p>
        </w:tc>
        <w:tc>
          <w:tcPr>
            <w:tcW w:w="431" w:type="pct"/>
            <w:shd w:val="clear" w:color="auto" w:fill="auto"/>
            <w:vAlign w:val="center"/>
          </w:tcPr>
          <w:p w14:paraId="67C47BB8">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w:t>
            </w:r>
          </w:p>
        </w:tc>
        <w:tc>
          <w:tcPr>
            <w:tcW w:w="387" w:type="pct"/>
            <w:vMerge w:val="continue"/>
            <w:vAlign w:val="center"/>
          </w:tcPr>
          <w:p w14:paraId="77CB34DB">
            <w:pPr>
              <w:widowControl/>
              <w:jc w:val="left"/>
              <w:rPr>
                <w:rFonts w:hint="eastAsia" w:ascii="宋体" w:hAnsi="宋体" w:eastAsia="宋体" w:cs="宋体"/>
                <w:color w:val="000000"/>
                <w:kern w:val="0"/>
                <w:sz w:val="18"/>
                <w:szCs w:val="18"/>
              </w:rPr>
            </w:pPr>
          </w:p>
        </w:tc>
      </w:tr>
      <w:tr w14:paraId="561B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26B977B1">
            <w:pPr>
              <w:widowControl/>
              <w:jc w:val="left"/>
              <w:rPr>
                <w:rFonts w:hint="eastAsia" w:ascii="宋体" w:hAnsi="宋体" w:eastAsia="宋体" w:cs="宋体"/>
                <w:color w:val="000000"/>
                <w:kern w:val="0"/>
                <w:sz w:val="18"/>
                <w:szCs w:val="18"/>
              </w:rPr>
            </w:pPr>
          </w:p>
        </w:tc>
        <w:tc>
          <w:tcPr>
            <w:tcW w:w="505" w:type="pct"/>
            <w:vMerge w:val="continue"/>
            <w:vAlign w:val="center"/>
          </w:tcPr>
          <w:p w14:paraId="343181E4">
            <w:pPr>
              <w:widowControl/>
              <w:jc w:val="left"/>
              <w:rPr>
                <w:rFonts w:hint="eastAsia" w:ascii="宋体" w:hAnsi="宋体" w:eastAsia="宋体" w:cs="宋体"/>
                <w:color w:val="000000"/>
                <w:kern w:val="0"/>
                <w:sz w:val="18"/>
                <w:szCs w:val="18"/>
              </w:rPr>
            </w:pPr>
          </w:p>
        </w:tc>
        <w:tc>
          <w:tcPr>
            <w:tcW w:w="874" w:type="pct"/>
            <w:vMerge w:val="continue"/>
            <w:vAlign w:val="center"/>
          </w:tcPr>
          <w:p w14:paraId="6A50D155">
            <w:pPr>
              <w:widowControl/>
              <w:jc w:val="left"/>
              <w:rPr>
                <w:rFonts w:hint="eastAsia" w:ascii="宋体" w:hAnsi="宋体" w:eastAsia="宋体" w:cs="宋体"/>
                <w:color w:val="000000"/>
                <w:kern w:val="0"/>
                <w:sz w:val="18"/>
                <w:szCs w:val="18"/>
              </w:rPr>
            </w:pPr>
          </w:p>
        </w:tc>
        <w:tc>
          <w:tcPr>
            <w:tcW w:w="1115" w:type="pct"/>
            <w:vMerge w:val="continue"/>
            <w:vAlign w:val="center"/>
          </w:tcPr>
          <w:p w14:paraId="397B8AFD">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538FCEF8">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(2.0，3.0]</w:t>
            </w:r>
          </w:p>
        </w:tc>
        <w:tc>
          <w:tcPr>
            <w:tcW w:w="431" w:type="pct"/>
            <w:shd w:val="clear" w:color="auto" w:fill="auto"/>
            <w:vAlign w:val="center"/>
          </w:tcPr>
          <w:p w14:paraId="4F03EFBC">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7</w:t>
            </w:r>
          </w:p>
        </w:tc>
        <w:tc>
          <w:tcPr>
            <w:tcW w:w="387" w:type="pct"/>
            <w:vMerge w:val="continue"/>
            <w:vAlign w:val="center"/>
          </w:tcPr>
          <w:p w14:paraId="6510F1DC">
            <w:pPr>
              <w:widowControl/>
              <w:jc w:val="left"/>
              <w:rPr>
                <w:rFonts w:hint="eastAsia" w:ascii="宋体" w:hAnsi="宋体" w:eastAsia="宋体" w:cs="宋体"/>
                <w:color w:val="000000"/>
                <w:kern w:val="0"/>
                <w:sz w:val="18"/>
                <w:szCs w:val="18"/>
              </w:rPr>
            </w:pPr>
          </w:p>
        </w:tc>
      </w:tr>
      <w:tr w14:paraId="52C6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773F6045">
            <w:pPr>
              <w:widowControl/>
              <w:jc w:val="left"/>
              <w:rPr>
                <w:rFonts w:hint="eastAsia" w:ascii="宋体" w:hAnsi="宋体" w:eastAsia="宋体" w:cs="宋体"/>
                <w:color w:val="000000"/>
                <w:kern w:val="0"/>
                <w:sz w:val="18"/>
                <w:szCs w:val="18"/>
              </w:rPr>
            </w:pPr>
          </w:p>
        </w:tc>
        <w:tc>
          <w:tcPr>
            <w:tcW w:w="505" w:type="pct"/>
            <w:vMerge w:val="continue"/>
            <w:vAlign w:val="center"/>
          </w:tcPr>
          <w:p w14:paraId="555D3432">
            <w:pPr>
              <w:widowControl/>
              <w:jc w:val="left"/>
              <w:rPr>
                <w:rFonts w:hint="eastAsia" w:ascii="宋体" w:hAnsi="宋体" w:eastAsia="宋体" w:cs="宋体"/>
                <w:color w:val="000000"/>
                <w:kern w:val="0"/>
                <w:sz w:val="18"/>
                <w:szCs w:val="18"/>
              </w:rPr>
            </w:pPr>
          </w:p>
        </w:tc>
        <w:tc>
          <w:tcPr>
            <w:tcW w:w="874" w:type="pct"/>
            <w:vMerge w:val="continue"/>
            <w:vAlign w:val="center"/>
          </w:tcPr>
          <w:p w14:paraId="73A84930">
            <w:pPr>
              <w:widowControl/>
              <w:jc w:val="left"/>
              <w:rPr>
                <w:rFonts w:hint="eastAsia" w:ascii="宋体" w:hAnsi="宋体" w:eastAsia="宋体" w:cs="宋体"/>
                <w:color w:val="000000"/>
                <w:kern w:val="0"/>
                <w:sz w:val="18"/>
                <w:szCs w:val="18"/>
              </w:rPr>
            </w:pPr>
          </w:p>
        </w:tc>
        <w:tc>
          <w:tcPr>
            <w:tcW w:w="1115" w:type="pct"/>
            <w:vMerge w:val="continue"/>
            <w:vAlign w:val="center"/>
          </w:tcPr>
          <w:p w14:paraId="1A0CAD47">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7360339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(1.0，2.0]</w:t>
            </w:r>
          </w:p>
        </w:tc>
        <w:tc>
          <w:tcPr>
            <w:tcW w:w="431" w:type="pct"/>
            <w:shd w:val="clear" w:color="auto" w:fill="auto"/>
            <w:vAlign w:val="center"/>
          </w:tcPr>
          <w:p w14:paraId="4CA7130C">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w:t>
            </w:r>
          </w:p>
        </w:tc>
        <w:tc>
          <w:tcPr>
            <w:tcW w:w="387" w:type="pct"/>
            <w:vMerge w:val="continue"/>
            <w:vAlign w:val="center"/>
          </w:tcPr>
          <w:p w14:paraId="40929764">
            <w:pPr>
              <w:widowControl/>
              <w:jc w:val="left"/>
              <w:rPr>
                <w:rFonts w:hint="eastAsia" w:ascii="宋体" w:hAnsi="宋体" w:eastAsia="宋体" w:cs="宋体"/>
                <w:color w:val="000000"/>
                <w:kern w:val="0"/>
                <w:sz w:val="18"/>
                <w:szCs w:val="18"/>
              </w:rPr>
            </w:pPr>
          </w:p>
        </w:tc>
      </w:tr>
      <w:tr w14:paraId="18B9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2899520C">
            <w:pPr>
              <w:widowControl/>
              <w:jc w:val="left"/>
              <w:rPr>
                <w:rFonts w:hint="eastAsia" w:ascii="宋体" w:hAnsi="宋体" w:eastAsia="宋体" w:cs="宋体"/>
                <w:color w:val="000000"/>
                <w:kern w:val="0"/>
                <w:sz w:val="18"/>
                <w:szCs w:val="18"/>
              </w:rPr>
            </w:pPr>
          </w:p>
        </w:tc>
        <w:tc>
          <w:tcPr>
            <w:tcW w:w="505" w:type="pct"/>
            <w:vMerge w:val="continue"/>
            <w:vAlign w:val="center"/>
          </w:tcPr>
          <w:p w14:paraId="1CED712D">
            <w:pPr>
              <w:widowControl/>
              <w:jc w:val="left"/>
              <w:rPr>
                <w:rFonts w:hint="eastAsia" w:ascii="宋体" w:hAnsi="宋体" w:eastAsia="宋体" w:cs="宋体"/>
                <w:color w:val="000000"/>
                <w:kern w:val="0"/>
                <w:sz w:val="18"/>
                <w:szCs w:val="18"/>
              </w:rPr>
            </w:pPr>
          </w:p>
        </w:tc>
        <w:tc>
          <w:tcPr>
            <w:tcW w:w="874" w:type="pct"/>
            <w:vMerge w:val="continue"/>
            <w:vAlign w:val="center"/>
          </w:tcPr>
          <w:p w14:paraId="5C1B8484">
            <w:pPr>
              <w:widowControl/>
              <w:jc w:val="left"/>
              <w:rPr>
                <w:rFonts w:hint="eastAsia" w:ascii="宋体" w:hAnsi="宋体" w:eastAsia="宋体" w:cs="宋体"/>
                <w:color w:val="000000"/>
                <w:kern w:val="0"/>
                <w:sz w:val="18"/>
                <w:szCs w:val="18"/>
              </w:rPr>
            </w:pPr>
          </w:p>
        </w:tc>
        <w:tc>
          <w:tcPr>
            <w:tcW w:w="1115" w:type="pct"/>
            <w:vMerge w:val="continue"/>
            <w:vAlign w:val="center"/>
          </w:tcPr>
          <w:p w14:paraId="26B7AC7F">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6F61573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(0，1.0]</w:t>
            </w:r>
          </w:p>
        </w:tc>
        <w:tc>
          <w:tcPr>
            <w:tcW w:w="431" w:type="pct"/>
            <w:shd w:val="clear" w:color="auto" w:fill="auto"/>
            <w:vAlign w:val="center"/>
          </w:tcPr>
          <w:p w14:paraId="045C5D2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w:t>
            </w:r>
          </w:p>
        </w:tc>
        <w:tc>
          <w:tcPr>
            <w:tcW w:w="387" w:type="pct"/>
            <w:vMerge w:val="continue"/>
            <w:vAlign w:val="center"/>
          </w:tcPr>
          <w:p w14:paraId="666DAE00">
            <w:pPr>
              <w:widowControl/>
              <w:jc w:val="left"/>
              <w:rPr>
                <w:rFonts w:hint="eastAsia" w:ascii="宋体" w:hAnsi="宋体" w:eastAsia="宋体" w:cs="宋体"/>
                <w:color w:val="000000"/>
                <w:kern w:val="0"/>
                <w:sz w:val="18"/>
                <w:szCs w:val="18"/>
              </w:rPr>
            </w:pPr>
          </w:p>
        </w:tc>
      </w:tr>
      <w:tr w14:paraId="112E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1355E698">
            <w:pPr>
              <w:widowControl/>
              <w:jc w:val="left"/>
              <w:rPr>
                <w:rFonts w:hint="eastAsia" w:ascii="宋体" w:hAnsi="宋体" w:eastAsia="宋体" w:cs="宋体"/>
                <w:color w:val="000000"/>
                <w:kern w:val="0"/>
                <w:sz w:val="18"/>
                <w:szCs w:val="18"/>
              </w:rPr>
            </w:pPr>
          </w:p>
        </w:tc>
        <w:tc>
          <w:tcPr>
            <w:tcW w:w="505" w:type="pct"/>
            <w:vMerge w:val="continue"/>
            <w:vAlign w:val="center"/>
          </w:tcPr>
          <w:p w14:paraId="617C07DE">
            <w:pPr>
              <w:widowControl/>
              <w:jc w:val="left"/>
              <w:rPr>
                <w:rFonts w:hint="eastAsia" w:ascii="宋体" w:hAnsi="宋体" w:eastAsia="宋体" w:cs="宋体"/>
                <w:color w:val="000000"/>
                <w:kern w:val="0"/>
                <w:sz w:val="18"/>
                <w:szCs w:val="18"/>
              </w:rPr>
            </w:pPr>
          </w:p>
        </w:tc>
        <w:tc>
          <w:tcPr>
            <w:tcW w:w="874" w:type="pct"/>
            <w:vMerge w:val="continue"/>
            <w:vAlign w:val="center"/>
          </w:tcPr>
          <w:p w14:paraId="6E46C7C2">
            <w:pPr>
              <w:widowControl/>
              <w:jc w:val="left"/>
              <w:rPr>
                <w:rFonts w:hint="eastAsia" w:ascii="宋体" w:hAnsi="宋体" w:eastAsia="宋体" w:cs="宋体"/>
                <w:color w:val="000000"/>
                <w:kern w:val="0"/>
                <w:sz w:val="18"/>
                <w:szCs w:val="18"/>
              </w:rPr>
            </w:pPr>
          </w:p>
        </w:tc>
        <w:tc>
          <w:tcPr>
            <w:tcW w:w="1115" w:type="pct"/>
            <w:vMerge w:val="continue"/>
            <w:vAlign w:val="center"/>
          </w:tcPr>
          <w:p w14:paraId="2C6A3DD6">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02D3050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431" w:type="pct"/>
            <w:shd w:val="clear" w:color="auto" w:fill="auto"/>
            <w:vAlign w:val="center"/>
          </w:tcPr>
          <w:p w14:paraId="747384B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w:t>
            </w:r>
          </w:p>
        </w:tc>
        <w:tc>
          <w:tcPr>
            <w:tcW w:w="387" w:type="pct"/>
            <w:vMerge w:val="continue"/>
            <w:vAlign w:val="center"/>
          </w:tcPr>
          <w:p w14:paraId="0EB6AD9C">
            <w:pPr>
              <w:widowControl/>
              <w:jc w:val="left"/>
              <w:rPr>
                <w:rFonts w:hint="eastAsia" w:ascii="宋体" w:hAnsi="宋体" w:eastAsia="宋体" w:cs="宋体"/>
                <w:color w:val="000000"/>
                <w:kern w:val="0"/>
                <w:sz w:val="18"/>
                <w:szCs w:val="18"/>
              </w:rPr>
            </w:pPr>
          </w:p>
        </w:tc>
      </w:tr>
      <w:tr w14:paraId="5236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51D38AE3">
            <w:pPr>
              <w:widowControl/>
              <w:jc w:val="center"/>
              <w:rPr>
                <w:rFonts w:hint="eastAsia" w:ascii="宋体" w:hAnsi="宋体" w:eastAsia="宋体" w:cs="宋体"/>
                <w:color w:val="000000"/>
                <w:kern w:val="0"/>
                <w:sz w:val="18"/>
                <w:szCs w:val="18"/>
              </w:rPr>
            </w:pPr>
          </w:p>
        </w:tc>
        <w:tc>
          <w:tcPr>
            <w:tcW w:w="505" w:type="pct"/>
            <w:vMerge w:val="restart"/>
            <w:shd w:val="clear" w:color="auto" w:fill="auto"/>
            <w:vAlign w:val="center"/>
          </w:tcPr>
          <w:p w14:paraId="3B840ED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地表水污染迁移性</w:t>
            </w:r>
          </w:p>
        </w:tc>
        <w:tc>
          <w:tcPr>
            <w:tcW w:w="874" w:type="pct"/>
            <w:vMerge w:val="restart"/>
            <w:shd w:val="clear" w:color="auto" w:fill="auto"/>
            <w:noWrap/>
            <w:vAlign w:val="center"/>
          </w:tcPr>
          <w:p w14:paraId="543A28E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地表水表观污染</w:t>
            </w:r>
          </w:p>
        </w:tc>
        <w:tc>
          <w:tcPr>
            <w:tcW w:w="1115" w:type="pct"/>
            <w:vMerge w:val="restart"/>
            <w:shd w:val="clear" w:color="auto" w:fill="auto"/>
            <w:vAlign w:val="center"/>
          </w:tcPr>
          <w:p w14:paraId="56409EE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w:t>
            </w:r>
            <w:r>
              <w:rPr>
                <w:rFonts w:hint="eastAsia" w:ascii="宋体" w:hAnsi="宋体" w:eastAsia="宋体" w:cs="宋体"/>
                <w:color w:val="000000"/>
                <w:kern w:val="0"/>
                <w:sz w:val="18"/>
                <w:szCs w:val="18"/>
              </w:rPr>
              <w:t>磺水”等表观劣质河段长度（m）</w:t>
            </w:r>
          </w:p>
        </w:tc>
        <w:tc>
          <w:tcPr>
            <w:tcW w:w="1226" w:type="pct"/>
            <w:shd w:val="clear" w:color="auto" w:fill="auto"/>
            <w:vAlign w:val="center"/>
          </w:tcPr>
          <w:p w14:paraId="081CF47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＞3000</w:t>
            </w:r>
          </w:p>
        </w:tc>
        <w:tc>
          <w:tcPr>
            <w:tcW w:w="431" w:type="pct"/>
            <w:shd w:val="clear" w:color="auto" w:fill="auto"/>
            <w:vAlign w:val="center"/>
          </w:tcPr>
          <w:p w14:paraId="59DB25F6">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30</w:t>
            </w:r>
          </w:p>
        </w:tc>
        <w:tc>
          <w:tcPr>
            <w:tcW w:w="387" w:type="pct"/>
            <w:vMerge w:val="restart"/>
            <w:shd w:val="clear" w:color="auto" w:fill="auto"/>
            <w:noWrap/>
            <w:vAlign w:val="center"/>
          </w:tcPr>
          <w:p w14:paraId="474C3911">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65</w:t>
            </w:r>
          </w:p>
        </w:tc>
      </w:tr>
      <w:tr w14:paraId="31C9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7EBD50E2">
            <w:pPr>
              <w:widowControl/>
              <w:jc w:val="left"/>
              <w:rPr>
                <w:rFonts w:hint="eastAsia" w:ascii="宋体" w:hAnsi="宋体" w:eastAsia="宋体" w:cs="宋体"/>
                <w:color w:val="000000"/>
                <w:kern w:val="0"/>
                <w:sz w:val="18"/>
                <w:szCs w:val="18"/>
              </w:rPr>
            </w:pPr>
          </w:p>
        </w:tc>
        <w:tc>
          <w:tcPr>
            <w:tcW w:w="505" w:type="pct"/>
            <w:vMerge w:val="continue"/>
            <w:vAlign w:val="center"/>
          </w:tcPr>
          <w:p w14:paraId="3FD4EA42">
            <w:pPr>
              <w:widowControl/>
              <w:jc w:val="left"/>
              <w:rPr>
                <w:rFonts w:hint="eastAsia" w:ascii="宋体" w:hAnsi="宋体" w:eastAsia="宋体" w:cs="宋体"/>
                <w:color w:val="000000"/>
                <w:kern w:val="0"/>
                <w:sz w:val="18"/>
                <w:szCs w:val="18"/>
              </w:rPr>
            </w:pPr>
          </w:p>
        </w:tc>
        <w:tc>
          <w:tcPr>
            <w:tcW w:w="874" w:type="pct"/>
            <w:vMerge w:val="continue"/>
            <w:vAlign w:val="center"/>
          </w:tcPr>
          <w:p w14:paraId="662BBF10">
            <w:pPr>
              <w:widowControl/>
              <w:jc w:val="left"/>
              <w:rPr>
                <w:rFonts w:hint="eastAsia" w:ascii="宋体" w:hAnsi="宋体" w:eastAsia="宋体" w:cs="宋体"/>
                <w:color w:val="000000"/>
                <w:kern w:val="0"/>
                <w:sz w:val="18"/>
                <w:szCs w:val="18"/>
              </w:rPr>
            </w:pPr>
          </w:p>
        </w:tc>
        <w:tc>
          <w:tcPr>
            <w:tcW w:w="1115" w:type="pct"/>
            <w:vMerge w:val="continue"/>
            <w:vAlign w:val="center"/>
          </w:tcPr>
          <w:p w14:paraId="374DC7E4">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3DFA521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(1000，3000]</w:t>
            </w:r>
          </w:p>
        </w:tc>
        <w:tc>
          <w:tcPr>
            <w:tcW w:w="431" w:type="pct"/>
            <w:shd w:val="clear" w:color="auto" w:fill="auto"/>
            <w:vAlign w:val="center"/>
          </w:tcPr>
          <w:p w14:paraId="472B20A8">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20</w:t>
            </w:r>
          </w:p>
        </w:tc>
        <w:tc>
          <w:tcPr>
            <w:tcW w:w="387" w:type="pct"/>
            <w:vMerge w:val="continue"/>
            <w:vAlign w:val="center"/>
          </w:tcPr>
          <w:p w14:paraId="5C9095A3">
            <w:pPr>
              <w:widowControl/>
              <w:jc w:val="left"/>
              <w:rPr>
                <w:rFonts w:hint="eastAsia" w:ascii="宋体" w:hAnsi="宋体" w:eastAsia="宋体" w:cs="宋体"/>
                <w:color w:val="000000"/>
                <w:kern w:val="0"/>
                <w:sz w:val="18"/>
                <w:szCs w:val="18"/>
              </w:rPr>
            </w:pPr>
          </w:p>
        </w:tc>
      </w:tr>
      <w:tr w14:paraId="062F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16B8121D">
            <w:pPr>
              <w:widowControl/>
              <w:jc w:val="left"/>
              <w:rPr>
                <w:rFonts w:hint="eastAsia" w:ascii="宋体" w:hAnsi="宋体" w:eastAsia="宋体" w:cs="宋体"/>
                <w:color w:val="000000"/>
                <w:kern w:val="0"/>
                <w:sz w:val="18"/>
                <w:szCs w:val="18"/>
              </w:rPr>
            </w:pPr>
          </w:p>
        </w:tc>
        <w:tc>
          <w:tcPr>
            <w:tcW w:w="505" w:type="pct"/>
            <w:vMerge w:val="continue"/>
            <w:vAlign w:val="center"/>
          </w:tcPr>
          <w:p w14:paraId="2E9BA752">
            <w:pPr>
              <w:widowControl/>
              <w:jc w:val="left"/>
              <w:rPr>
                <w:rFonts w:hint="eastAsia" w:ascii="宋体" w:hAnsi="宋体" w:eastAsia="宋体" w:cs="宋体"/>
                <w:color w:val="000000"/>
                <w:kern w:val="0"/>
                <w:sz w:val="18"/>
                <w:szCs w:val="18"/>
              </w:rPr>
            </w:pPr>
          </w:p>
        </w:tc>
        <w:tc>
          <w:tcPr>
            <w:tcW w:w="874" w:type="pct"/>
            <w:vMerge w:val="continue"/>
            <w:vAlign w:val="center"/>
          </w:tcPr>
          <w:p w14:paraId="246EC4E4">
            <w:pPr>
              <w:widowControl/>
              <w:jc w:val="left"/>
              <w:rPr>
                <w:rFonts w:hint="eastAsia" w:ascii="宋体" w:hAnsi="宋体" w:eastAsia="宋体" w:cs="宋体"/>
                <w:color w:val="000000"/>
                <w:kern w:val="0"/>
                <w:sz w:val="18"/>
                <w:szCs w:val="18"/>
              </w:rPr>
            </w:pPr>
          </w:p>
        </w:tc>
        <w:tc>
          <w:tcPr>
            <w:tcW w:w="1115" w:type="pct"/>
            <w:vMerge w:val="continue"/>
            <w:vAlign w:val="center"/>
          </w:tcPr>
          <w:p w14:paraId="488418F9">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0EBEE08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(500，1000]</w:t>
            </w:r>
          </w:p>
        </w:tc>
        <w:tc>
          <w:tcPr>
            <w:tcW w:w="431" w:type="pct"/>
            <w:shd w:val="clear" w:color="auto" w:fill="auto"/>
            <w:vAlign w:val="center"/>
          </w:tcPr>
          <w:p w14:paraId="4BB75262">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15</w:t>
            </w:r>
          </w:p>
        </w:tc>
        <w:tc>
          <w:tcPr>
            <w:tcW w:w="387" w:type="pct"/>
            <w:vMerge w:val="continue"/>
            <w:vAlign w:val="center"/>
          </w:tcPr>
          <w:p w14:paraId="52E0692B">
            <w:pPr>
              <w:widowControl/>
              <w:jc w:val="left"/>
              <w:rPr>
                <w:rFonts w:hint="eastAsia" w:ascii="宋体" w:hAnsi="宋体" w:eastAsia="宋体" w:cs="宋体"/>
                <w:color w:val="000000"/>
                <w:kern w:val="0"/>
                <w:sz w:val="18"/>
                <w:szCs w:val="18"/>
              </w:rPr>
            </w:pPr>
          </w:p>
        </w:tc>
      </w:tr>
      <w:tr w14:paraId="49CA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67A371E3">
            <w:pPr>
              <w:widowControl/>
              <w:jc w:val="left"/>
              <w:rPr>
                <w:rFonts w:hint="eastAsia" w:ascii="宋体" w:hAnsi="宋体" w:eastAsia="宋体" w:cs="宋体"/>
                <w:color w:val="000000"/>
                <w:kern w:val="0"/>
                <w:sz w:val="18"/>
                <w:szCs w:val="18"/>
              </w:rPr>
            </w:pPr>
          </w:p>
        </w:tc>
        <w:tc>
          <w:tcPr>
            <w:tcW w:w="505" w:type="pct"/>
            <w:vMerge w:val="continue"/>
            <w:vAlign w:val="center"/>
          </w:tcPr>
          <w:p w14:paraId="0454FF9D">
            <w:pPr>
              <w:widowControl/>
              <w:jc w:val="left"/>
              <w:rPr>
                <w:rFonts w:hint="eastAsia" w:ascii="宋体" w:hAnsi="宋体" w:eastAsia="宋体" w:cs="宋体"/>
                <w:color w:val="000000"/>
                <w:kern w:val="0"/>
                <w:sz w:val="18"/>
                <w:szCs w:val="18"/>
              </w:rPr>
            </w:pPr>
          </w:p>
        </w:tc>
        <w:tc>
          <w:tcPr>
            <w:tcW w:w="874" w:type="pct"/>
            <w:vMerge w:val="continue"/>
            <w:vAlign w:val="center"/>
          </w:tcPr>
          <w:p w14:paraId="4BDEDDF6">
            <w:pPr>
              <w:widowControl/>
              <w:jc w:val="left"/>
              <w:rPr>
                <w:rFonts w:hint="eastAsia" w:ascii="宋体" w:hAnsi="宋体" w:eastAsia="宋体" w:cs="宋体"/>
                <w:color w:val="000000"/>
                <w:kern w:val="0"/>
                <w:sz w:val="18"/>
                <w:szCs w:val="18"/>
              </w:rPr>
            </w:pPr>
          </w:p>
        </w:tc>
        <w:tc>
          <w:tcPr>
            <w:tcW w:w="1115" w:type="pct"/>
            <w:vMerge w:val="continue"/>
            <w:vAlign w:val="center"/>
          </w:tcPr>
          <w:p w14:paraId="3FF5FB7C">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5ABDAB1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(100，500]</w:t>
            </w:r>
          </w:p>
        </w:tc>
        <w:tc>
          <w:tcPr>
            <w:tcW w:w="431" w:type="pct"/>
            <w:shd w:val="clear" w:color="auto" w:fill="auto"/>
            <w:vAlign w:val="center"/>
          </w:tcPr>
          <w:p w14:paraId="3958C860">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w:t>
            </w:r>
          </w:p>
        </w:tc>
        <w:tc>
          <w:tcPr>
            <w:tcW w:w="387" w:type="pct"/>
            <w:vMerge w:val="continue"/>
            <w:vAlign w:val="center"/>
          </w:tcPr>
          <w:p w14:paraId="1E0BE7DD">
            <w:pPr>
              <w:widowControl/>
              <w:jc w:val="left"/>
              <w:rPr>
                <w:rFonts w:hint="eastAsia" w:ascii="宋体" w:hAnsi="宋体" w:eastAsia="宋体" w:cs="宋体"/>
                <w:color w:val="000000"/>
                <w:kern w:val="0"/>
                <w:sz w:val="18"/>
                <w:szCs w:val="18"/>
              </w:rPr>
            </w:pPr>
          </w:p>
        </w:tc>
      </w:tr>
      <w:tr w14:paraId="67E6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041C9AF8">
            <w:pPr>
              <w:widowControl/>
              <w:jc w:val="left"/>
              <w:rPr>
                <w:rFonts w:hint="eastAsia" w:ascii="宋体" w:hAnsi="宋体" w:eastAsia="宋体" w:cs="宋体"/>
                <w:color w:val="000000"/>
                <w:kern w:val="0"/>
                <w:sz w:val="18"/>
                <w:szCs w:val="18"/>
              </w:rPr>
            </w:pPr>
          </w:p>
        </w:tc>
        <w:tc>
          <w:tcPr>
            <w:tcW w:w="505" w:type="pct"/>
            <w:vMerge w:val="continue"/>
            <w:vAlign w:val="center"/>
          </w:tcPr>
          <w:p w14:paraId="5871D3B0">
            <w:pPr>
              <w:widowControl/>
              <w:jc w:val="left"/>
              <w:rPr>
                <w:rFonts w:hint="eastAsia" w:ascii="宋体" w:hAnsi="宋体" w:eastAsia="宋体" w:cs="宋体"/>
                <w:color w:val="000000"/>
                <w:kern w:val="0"/>
                <w:sz w:val="18"/>
                <w:szCs w:val="18"/>
              </w:rPr>
            </w:pPr>
          </w:p>
        </w:tc>
        <w:tc>
          <w:tcPr>
            <w:tcW w:w="874" w:type="pct"/>
            <w:vMerge w:val="continue"/>
            <w:vAlign w:val="center"/>
          </w:tcPr>
          <w:p w14:paraId="21D2FE9A">
            <w:pPr>
              <w:widowControl/>
              <w:jc w:val="left"/>
              <w:rPr>
                <w:rFonts w:hint="eastAsia" w:ascii="宋体" w:hAnsi="宋体" w:eastAsia="宋体" w:cs="宋体"/>
                <w:color w:val="000000"/>
                <w:kern w:val="0"/>
                <w:sz w:val="18"/>
                <w:szCs w:val="18"/>
              </w:rPr>
            </w:pPr>
          </w:p>
        </w:tc>
        <w:tc>
          <w:tcPr>
            <w:tcW w:w="1115" w:type="pct"/>
            <w:vMerge w:val="continue"/>
            <w:vAlign w:val="center"/>
          </w:tcPr>
          <w:p w14:paraId="367E107E">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1D4B949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(10，100]</w:t>
            </w:r>
          </w:p>
        </w:tc>
        <w:tc>
          <w:tcPr>
            <w:tcW w:w="431" w:type="pct"/>
            <w:shd w:val="clear" w:color="auto" w:fill="auto"/>
            <w:vAlign w:val="center"/>
          </w:tcPr>
          <w:p w14:paraId="7790C82F">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w:t>
            </w:r>
          </w:p>
        </w:tc>
        <w:tc>
          <w:tcPr>
            <w:tcW w:w="387" w:type="pct"/>
            <w:vMerge w:val="continue"/>
            <w:vAlign w:val="center"/>
          </w:tcPr>
          <w:p w14:paraId="085CB707">
            <w:pPr>
              <w:widowControl/>
              <w:jc w:val="left"/>
              <w:rPr>
                <w:rFonts w:hint="eastAsia" w:ascii="宋体" w:hAnsi="宋体" w:eastAsia="宋体" w:cs="宋体"/>
                <w:color w:val="000000"/>
                <w:kern w:val="0"/>
                <w:sz w:val="18"/>
                <w:szCs w:val="18"/>
              </w:rPr>
            </w:pPr>
          </w:p>
        </w:tc>
      </w:tr>
      <w:tr w14:paraId="5F6BD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05B54907">
            <w:pPr>
              <w:widowControl/>
              <w:jc w:val="left"/>
              <w:rPr>
                <w:rFonts w:hint="eastAsia" w:ascii="宋体" w:hAnsi="宋体" w:eastAsia="宋体" w:cs="宋体"/>
                <w:color w:val="000000"/>
                <w:kern w:val="0"/>
                <w:sz w:val="18"/>
                <w:szCs w:val="18"/>
              </w:rPr>
            </w:pPr>
          </w:p>
        </w:tc>
        <w:tc>
          <w:tcPr>
            <w:tcW w:w="505" w:type="pct"/>
            <w:vMerge w:val="continue"/>
            <w:vAlign w:val="center"/>
          </w:tcPr>
          <w:p w14:paraId="16BF4805">
            <w:pPr>
              <w:widowControl/>
              <w:jc w:val="left"/>
              <w:rPr>
                <w:rFonts w:hint="eastAsia" w:ascii="宋体" w:hAnsi="宋体" w:eastAsia="宋体" w:cs="宋体"/>
                <w:color w:val="000000"/>
                <w:kern w:val="0"/>
                <w:sz w:val="18"/>
                <w:szCs w:val="18"/>
              </w:rPr>
            </w:pPr>
          </w:p>
        </w:tc>
        <w:tc>
          <w:tcPr>
            <w:tcW w:w="874" w:type="pct"/>
            <w:vMerge w:val="continue"/>
            <w:vAlign w:val="center"/>
          </w:tcPr>
          <w:p w14:paraId="433A9D51">
            <w:pPr>
              <w:widowControl/>
              <w:jc w:val="left"/>
              <w:rPr>
                <w:rFonts w:hint="eastAsia" w:ascii="宋体" w:hAnsi="宋体" w:eastAsia="宋体" w:cs="宋体"/>
                <w:color w:val="000000"/>
                <w:kern w:val="0"/>
                <w:sz w:val="18"/>
                <w:szCs w:val="18"/>
              </w:rPr>
            </w:pPr>
          </w:p>
        </w:tc>
        <w:tc>
          <w:tcPr>
            <w:tcW w:w="1115" w:type="pct"/>
            <w:vMerge w:val="continue"/>
            <w:vAlign w:val="center"/>
          </w:tcPr>
          <w:p w14:paraId="3AB1FA6D">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58E104CF">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31" w:type="pct"/>
            <w:shd w:val="clear" w:color="auto" w:fill="auto"/>
            <w:vAlign w:val="center"/>
          </w:tcPr>
          <w:p w14:paraId="4B82518A">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w:t>
            </w:r>
          </w:p>
        </w:tc>
        <w:tc>
          <w:tcPr>
            <w:tcW w:w="387" w:type="pct"/>
            <w:vMerge w:val="continue"/>
            <w:vAlign w:val="center"/>
          </w:tcPr>
          <w:p w14:paraId="617EFAE4">
            <w:pPr>
              <w:widowControl/>
              <w:jc w:val="left"/>
              <w:rPr>
                <w:rFonts w:hint="eastAsia" w:ascii="宋体" w:hAnsi="宋体" w:eastAsia="宋体" w:cs="宋体"/>
                <w:color w:val="000000"/>
                <w:kern w:val="0"/>
                <w:sz w:val="18"/>
                <w:szCs w:val="18"/>
              </w:rPr>
            </w:pPr>
          </w:p>
        </w:tc>
      </w:tr>
      <w:tr w14:paraId="6DD6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47E066BD">
            <w:pPr>
              <w:widowControl/>
              <w:jc w:val="left"/>
              <w:rPr>
                <w:rFonts w:hint="eastAsia" w:ascii="宋体" w:hAnsi="宋体" w:eastAsia="宋体" w:cs="宋体"/>
                <w:color w:val="000000"/>
                <w:kern w:val="0"/>
                <w:sz w:val="18"/>
                <w:szCs w:val="18"/>
              </w:rPr>
            </w:pPr>
          </w:p>
        </w:tc>
        <w:tc>
          <w:tcPr>
            <w:tcW w:w="505" w:type="pct"/>
            <w:vMerge w:val="continue"/>
            <w:vAlign w:val="center"/>
          </w:tcPr>
          <w:p w14:paraId="06D24C7C">
            <w:pPr>
              <w:widowControl/>
              <w:jc w:val="left"/>
              <w:rPr>
                <w:rFonts w:hint="eastAsia" w:ascii="宋体" w:hAnsi="宋体" w:eastAsia="宋体" w:cs="宋体"/>
                <w:color w:val="000000"/>
                <w:kern w:val="0"/>
                <w:sz w:val="18"/>
                <w:szCs w:val="18"/>
              </w:rPr>
            </w:pPr>
          </w:p>
        </w:tc>
        <w:tc>
          <w:tcPr>
            <w:tcW w:w="874" w:type="pct"/>
            <w:vMerge w:val="restart"/>
            <w:shd w:val="clear" w:color="auto" w:fill="auto"/>
            <w:vAlign w:val="center"/>
          </w:tcPr>
          <w:p w14:paraId="4CCCF32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地表水污染物迁移性</w:t>
            </w:r>
          </w:p>
        </w:tc>
        <w:tc>
          <w:tcPr>
            <w:tcW w:w="1115" w:type="pct"/>
            <w:vMerge w:val="restart"/>
            <w:shd w:val="clear" w:color="auto" w:fill="auto"/>
            <w:vAlign w:val="center"/>
          </w:tcPr>
          <w:p w14:paraId="6D98412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地形坡度（°）</w:t>
            </w:r>
          </w:p>
        </w:tc>
        <w:tc>
          <w:tcPr>
            <w:tcW w:w="1226" w:type="pct"/>
            <w:shd w:val="clear" w:color="auto" w:fill="auto"/>
            <w:vAlign w:val="center"/>
          </w:tcPr>
          <w:p w14:paraId="050790C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431" w:type="pct"/>
            <w:shd w:val="clear" w:color="auto" w:fill="auto"/>
            <w:noWrap/>
            <w:vAlign w:val="center"/>
          </w:tcPr>
          <w:p w14:paraId="0E4979C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15</w:t>
            </w:r>
          </w:p>
        </w:tc>
        <w:tc>
          <w:tcPr>
            <w:tcW w:w="387" w:type="pct"/>
            <w:vMerge w:val="continue"/>
            <w:vAlign w:val="center"/>
          </w:tcPr>
          <w:p w14:paraId="33D0D70D">
            <w:pPr>
              <w:widowControl/>
              <w:jc w:val="left"/>
              <w:rPr>
                <w:rFonts w:hint="eastAsia" w:ascii="宋体" w:hAnsi="宋体" w:eastAsia="宋体" w:cs="宋体"/>
                <w:color w:val="000000"/>
                <w:kern w:val="0"/>
                <w:sz w:val="18"/>
                <w:szCs w:val="18"/>
              </w:rPr>
            </w:pPr>
          </w:p>
        </w:tc>
      </w:tr>
      <w:tr w14:paraId="047F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67EE9773">
            <w:pPr>
              <w:widowControl/>
              <w:jc w:val="left"/>
              <w:rPr>
                <w:rFonts w:hint="eastAsia" w:ascii="宋体" w:hAnsi="宋体" w:eastAsia="宋体" w:cs="宋体"/>
                <w:color w:val="000000"/>
                <w:kern w:val="0"/>
                <w:sz w:val="18"/>
                <w:szCs w:val="18"/>
              </w:rPr>
            </w:pPr>
          </w:p>
        </w:tc>
        <w:tc>
          <w:tcPr>
            <w:tcW w:w="505" w:type="pct"/>
            <w:vMerge w:val="continue"/>
            <w:vAlign w:val="center"/>
          </w:tcPr>
          <w:p w14:paraId="4734FE67">
            <w:pPr>
              <w:widowControl/>
              <w:jc w:val="left"/>
              <w:rPr>
                <w:rFonts w:hint="eastAsia" w:ascii="宋体" w:hAnsi="宋体" w:eastAsia="宋体" w:cs="宋体"/>
                <w:color w:val="000000"/>
                <w:kern w:val="0"/>
                <w:sz w:val="18"/>
                <w:szCs w:val="18"/>
              </w:rPr>
            </w:pPr>
          </w:p>
        </w:tc>
        <w:tc>
          <w:tcPr>
            <w:tcW w:w="874" w:type="pct"/>
            <w:vMerge w:val="continue"/>
            <w:vAlign w:val="center"/>
          </w:tcPr>
          <w:p w14:paraId="57109746">
            <w:pPr>
              <w:widowControl/>
              <w:jc w:val="left"/>
              <w:rPr>
                <w:rFonts w:hint="eastAsia" w:ascii="宋体" w:hAnsi="宋体" w:eastAsia="宋体" w:cs="宋体"/>
                <w:color w:val="000000"/>
                <w:kern w:val="0"/>
                <w:sz w:val="18"/>
                <w:szCs w:val="18"/>
              </w:rPr>
            </w:pPr>
          </w:p>
        </w:tc>
        <w:tc>
          <w:tcPr>
            <w:tcW w:w="1115" w:type="pct"/>
            <w:vMerge w:val="continue"/>
            <w:vAlign w:val="center"/>
          </w:tcPr>
          <w:p w14:paraId="32883AD0">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2F4503FF">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(12，24]</w:t>
            </w:r>
          </w:p>
        </w:tc>
        <w:tc>
          <w:tcPr>
            <w:tcW w:w="431" w:type="pct"/>
            <w:shd w:val="clear" w:color="auto" w:fill="auto"/>
            <w:noWrap/>
            <w:vAlign w:val="center"/>
          </w:tcPr>
          <w:p w14:paraId="05B71D97">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w:t>
            </w:r>
          </w:p>
        </w:tc>
        <w:tc>
          <w:tcPr>
            <w:tcW w:w="387" w:type="pct"/>
            <w:vMerge w:val="continue"/>
            <w:vAlign w:val="center"/>
          </w:tcPr>
          <w:p w14:paraId="5CF6D610">
            <w:pPr>
              <w:widowControl/>
              <w:jc w:val="left"/>
              <w:rPr>
                <w:rFonts w:hint="eastAsia" w:ascii="宋体" w:hAnsi="宋体" w:eastAsia="宋体" w:cs="宋体"/>
                <w:color w:val="000000"/>
                <w:kern w:val="0"/>
                <w:sz w:val="18"/>
                <w:szCs w:val="18"/>
              </w:rPr>
            </w:pPr>
          </w:p>
        </w:tc>
      </w:tr>
      <w:tr w14:paraId="7F31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17CCF638">
            <w:pPr>
              <w:widowControl/>
              <w:jc w:val="left"/>
              <w:rPr>
                <w:rFonts w:hint="eastAsia" w:ascii="宋体" w:hAnsi="宋体" w:eastAsia="宋体" w:cs="宋体"/>
                <w:color w:val="000000"/>
                <w:kern w:val="0"/>
                <w:sz w:val="18"/>
                <w:szCs w:val="18"/>
              </w:rPr>
            </w:pPr>
          </w:p>
        </w:tc>
        <w:tc>
          <w:tcPr>
            <w:tcW w:w="505" w:type="pct"/>
            <w:vMerge w:val="continue"/>
            <w:vAlign w:val="center"/>
          </w:tcPr>
          <w:p w14:paraId="2D0E9298">
            <w:pPr>
              <w:widowControl/>
              <w:jc w:val="left"/>
              <w:rPr>
                <w:rFonts w:hint="eastAsia" w:ascii="宋体" w:hAnsi="宋体" w:eastAsia="宋体" w:cs="宋体"/>
                <w:color w:val="000000"/>
                <w:kern w:val="0"/>
                <w:sz w:val="18"/>
                <w:szCs w:val="18"/>
              </w:rPr>
            </w:pPr>
          </w:p>
        </w:tc>
        <w:tc>
          <w:tcPr>
            <w:tcW w:w="874" w:type="pct"/>
            <w:vMerge w:val="continue"/>
            <w:vAlign w:val="center"/>
          </w:tcPr>
          <w:p w14:paraId="231A994D">
            <w:pPr>
              <w:widowControl/>
              <w:jc w:val="left"/>
              <w:rPr>
                <w:rFonts w:hint="eastAsia" w:ascii="宋体" w:hAnsi="宋体" w:eastAsia="宋体" w:cs="宋体"/>
                <w:color w:val="000000"/>
                <w:kern w:val="0"/>
                <w:sz w:val="18"/>
                <w:szCs w:val="18"/>
              </w:rPr>
            </w:pPr>
          </w:p>
        </w:tc>
        <w:tc>
          <w:tcPr>
            <w:tcW w:w="1115" w:type="pct"/>
            <w:vMerge w:val="continue"/>
            <w:vAlign w:val="center"/>
          </w:tcPr>
          <w:p w14:paraId="4E77EEC5">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6A0FE69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(6，12]</w:t>
            </w:r>
          </w:p>
        </w:tc>
        <w:tc>
          <w:tcPr>
            <w:tcW w:w="431" w:type="pct"/>
            <w:shd w:val="clear" w:color="auto" w:fill="auto"/>
            <w:noWrap/>
            <w:vAlign w:val="center"/>
          </w:tcPr>
          <w:p w14:paraId="7F0D0AD5">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7</w:t>
            </w:r>
          </w:p>
        </w:tc>
        <w:tc>
          <w:tcPr>
            <w:tcW w:w="387" w:type="pct"/>
            <w:vMerge w:val="continue"/>
            <w:vAlign w:val="center"/>
          </w:tcPr>
          <w:p w14:paraId="32659C7E">
            <w:pPr>
              <w:widowControl/>
              <w:jc w:val="left"/>
              <w:rPr>
                <w:rFonts w:hint="eastAsia" w:ascii="宋体" w:hAnsi="宋体" w:eastAsia="宋体" w:cs="宋体"/>
                <w:color w:val="000000"/>
                <w:kern w:val="0"/>
                <w:sz w:val="18"/>
                <w:szCs w:val="18"/>
              </w:rPr>
            </w:pPr>
          </w:p>
        </w:tc>
      </w:tr>
      <w:tr w14:paraId="0EAB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2504C7D9">
            <w:pPr>
              <w:widowControl/>
              <w:jc w:val="left"/>
              <w:rPr>
                <w:rFonts w:hint="eastAsia" w:ascii="宋体" w:hAnsi="宋体" w:eastAsia="宋体" w:cs="宋体"/>
                <w:color w:val="000000"/>
                <w:kern w:val="0"/>
                <w:sz w:val="18"/>
                <w:szCs w:val="18"/>
              </w:rPr>
            </w:pPr>
          </w:p>
        </w:tc>
        <w:tc>
          <w:tcPr>
            <w:tcW w:w="505" w:type="pct"/>
            <w:vMerge w:val="continue"/>
            <w:vAlign w:val="center"/>
          </w:tcPr>
          <w:p w14:paraId="437393CB">
            <w:pPr>
              <w:widowControl/>
              <w:jc w:val="left"/>
              <w:rPr>
                <w:rFonts w:hint="eastAsia" w:ascii="宋体" w:hAnsi="宋体" w:eastAsia="宋体" w:cs="宋体"/>
                <w:color w:val="000000"/>
                <w:kern w:val="0"/>
                <w:sz w:val="18"/>
                <w:szCs w:val="18"/>
              </w:rPr>
            </w:pPr>
          </w:p>
        </w:tc>
        <w:tc>
          <w:tcPr>
            <w:tcW w:w="874" w:type="pct"/>
            <w:vMerge w:val="continue"/>
            <w:vAlign w:val="center"/>
          </w:tcPr>
          <w:p w14:paraId="43F9A2EB">
            <w:pPr>
              <w:widowControl/>
              <w:jc w:val="left"/>
              <w:rPr>
                <w:rFonts w:hint="eastAsia" w:ascii="宋体" w:hAnsi="宋体" w:eastAsia="宋体" w:cs="宋体"/>
                <w:color w:val="000000"/>
                <w:kern w:val="0"/>
                <w:sz w:val="18"/>
                <w:szCs w:val="18"/>
              </w:rPr>
            </w:pPr>
          </w:p>
        </w:tc>
        <w:tc>
          <w:tcPr>
            <w:tcW w:w="1115" w:type="pct"/>
            <w:vMerge w:val="continue"/>
            <w:vAlign w:val="center"/>
          </w:tcPr>
          <w:p w14:paraId="5AEBF8D9">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29B670C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(12，24]</w:t>
            </w:r>
          </w:p>
        </w:tc>
        <w:tc>
          <w:tcPr>
            <w:tcW w:w="431" w:type="pct"/>
            <w:shd w:val="clear" w:color="auto" w:fill="auto"/>
            <w:noWrap/>
            <w:vAlign w:val="center"/>
          </w:tcPr>
          <w:p w14:paraId="5710605F">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w:t>
            </w:r>
          </w:p>
        </w:tc>
        <w:tc>
          <w:tcPr>
            <w:tcW w:w="387" w:type="pct"/>
            <w:vMerge w:val="continue"/>
            <w:vAlign w:val="center"/>
          </w:tcPr>
          <w:p w14:paraId="2A4E088F">
            <w:pPr>
              <w:widowControl/>
              <w:jc w:val="left"/>
              <w:rPr>
                <w:rFonts w:hint="eastAsia" w:ascii="宋体" w:hAnsi="宋体" w:eastAsia="宋体" w:cs="宋体"/>
                <w:color w:val="000000"/>
                <w:kern w:val="0"/>
                <w:sz w:val="18"/>
                <w:szCs w:val="18"/>
              </w:rPr>
            </w:pPr>
          </w:p>
        </w:tc>
      </w:tr>
      <w:tr w14:paraId="1AB7D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57E7EEF8">
            <w:pPr>
              <w:widowControl/>
              <w:jc w:val="left"/>
              <w:rPr>
                <w:rFonts w:hint="eastAsia" w:ascii="宋体" w:hAnsi="宋体" w:eastAsia="宋体" w:cs="宋体"/>
                <w:color w:val="000000"/>
                <w:kern w:val="0"/>
                <w:sz w:val="18"/>
                <w:szCs w:val="18"/>
              </w:rPr>
            </w:pPr>
          </w:p>
        </w:tc>
        <w:tc>
          <w:tcPr>
            <w:tcW w:w="505" w:type="pct"/>
            <w:vMerge w:val="continue"/>
            <w:vAlign w:val="center"/>
          </w:tcPr>
          <w:p w14:paraId="77C77CA1">
            <w:pPr>
              <w:widowControl/>
              <w:jc w:val="left"/>
              <w:rPr>
                <w:rFonts w:hint="eastAsia" w:ascii="宋体" w:hAnsi="宋体" w:eastAsia="宋体" w:cs="宋体"/>
                <w:color w:val="000000"/>
                <w:kern w:val="0"/>
                <w:sz w:val="18"/>
                <w:szCs w:val="18"/>
              </w:rPr>
            </w:pPr>
          </w:p>
        </w:tc>
        <w:tc>
          <w:tcPr>
            <w:tcW w:w="874" w:type="pct"/>
            <w:vMerge w:val="continue"/>
            <w:vAlign w:val="center"/>
          </w:tcPr>
          <w:p w14:paraId="3B0512D7">
            <w:pPr>
              <w:widowControl/>
              <w:jc w:val="left"/>
              <w:rPr>
                <w:rFonts w:hint="eastAsia" w:ascii="宋体" w:hAnsi="宋体" w:eastAsia="宋体" w:cs="宋体"/>
                <w:color w:val="000000"/>
                <w:kern w:val="0"/>
                <w:sz w:val="18"/>
                <w:szCs w:val="18"/>
              </w:rPr>
            </w:pPr>
          </w:p>
        </w:tc>
        <w:tc>
          <w:tcPr>
            <w:tcW w:w="1115" w:type="pct"/>
            <w:vMerge w:val="continue"/>
            <w:vAlign w:val="center"/>
          </w:tcPr>
          <w:p w14:paraId="4CB0A0BD">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2F135C4F">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31" w:type="pct"/>
            <w:shd w:val="clear" w:color="auto" w:fill="auto"/>
            <w:noWrap/>
            <w:vAlign w:val="center"/>
          </w:tcPr>
          <w:p w14:paraId="14C920E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w:t>
            </w:r>
          </w:p>
        </w:tc>
        <w:tc>
          <w:tcPr>
            <w:tcW w:w="387" w:type="pct"/>
            <w:vMerge w:val="continue"/>
            <w:vAlign w:val="center"/>
          </w:tcPr>
          <w:p w14:paraId="02FF644F">
            <w:pPr>
              <w:widowControl/>
              <w:jc w:val="left"/>
              <w:rPr>
                <w:rFonts w:hint="eastAsia" w:ascii="宋体" w:hAnsi="宋体" w:eastAsia="宋体" w:cs="宋体"/>
                <w:color w:val="000000"/>
                <w:kern w:val="0"/>
                <w:sz w:val="18"/>
                <w:szCs w:val="18"/>
              </w:rPr>
            </w:pPr>
          </w:p>
        </w:tc>
      </w:tr>
      <w:tr w14:paraId="5CAB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196EC610">
            <w:pPr>
              <w:widowControl/>
              <w:jc w:val="left"/>
              <w:rPr>
                <w:rFonts w:hint="eastAsia" w:ascii="宋体" w:hAnsi="宋体" w:eastAsia="宋体" w:cs="宋体"/>
                <w:color w:val="000000"/>
                <w:kern w:val="0"/>
                <w:sz w:val="18"/>
                <w:szCs w:val="18"/>
              </w:rPr>
            </w:pPr>
          </w:p>
        </w:tc>
        <w:tc>
          <w:tcPr>
            <w:tcW w:w="505" w:type="pct"/>
            <w:vMerge w:val="continue"/>
            <w:vAlign w:val="center"/>
          </w:tcPr>
          <w:p w14:paraId="49B103C4">
            <w:pPr>
              <w:widowControl/>
              <w:jc w:val="left"/>
              <w:rPr>
                <w:rFonts w:hint="eastAsia" w:ascii="宋体" w:hAnsi="宋体" w:eastAsia="宋体" w:cs="宋体"/>
                <w:color w:val="000000"/>
                <w:kern w:val="0"/>
                <w:sz w:val="18"/>
                <w:szCs w:val="18"/>
              </w:rPr>
            </w:pPr>
          </w:p>
        </w:tc>
        <w:tc>
          <w:tcPr>
            <w:tcW w:w="874" w:type="pct"/>
            <w:vMerge w:val="continue"/>
            <w:vAlign w:val="center"/>
          </w:tcPr>
          <w:p w14:paraId="26EA59A3">
            <w:pPr>
              <w:widowControl/>
              <w:jc w:val="left"/>
              <w:rPr>
                <w:rFonts w:hint="eastAsia" w:ascii="宋体" w:hAnsi="宋体" w:eastAsia="宋体" w:cs="宋体"/>
                <w:color w:val="000000"/>
                <w:kern w:val="0"/>
                <w:sz w:val="18"/>
                <w:szCs w:val="18"/>
              </w:rPr>
            </w:pPr>
          </w:p>
        </w:tc>
        <w:tc>
          <w:tcPr>
            <w:tcW w:w="1115" w:type="pct"/>
            <w:vMerge w:val="restart"/>
            <w:shd w:val="clear" w:color="auto" w:fill="auto"/>
            <w:noWrap/>
            <w:vAlign w:val="center"/>
          </w:tcPr>
          <w:p w14:paraId="077D771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地表水污染倍数</w:t>
            </w:r>
          </w:p>
        </w:tc>
        <w:tc>
          <w:tcPr>
            <w:tcW w:w="1226" w:type="pct"/>
            <w:shd w:val="clear" w:color="auto" w:fill="auto"/>
            <w:vAlign w:val="center"/>
          </w:tcPr>
          <w:p w14:paraId="734F768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&gt;3.0</w:t>
            </w:r>
          </w:p>
        </w:tc>
        <w:tc>
          <w:tcPr>
            <w:tcW w:w="431" w:type="pct"/>
            <w:shd w:val="clear" w:color="auto" w:fill="auto"/>
            <w:vAlign w:val="center"/>
          </w:tcPr>
          <w:p w14:paraId="4A827DC5">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20</w:t>
            </w:r>
          </w:p>
        </w:tc>
        <w:tc>
          <w:tcPr>
            <w:tcW w:w="387" w:type="pct"/>
            <w:vMerge w:val="continue"/>
            <w:vAlign w:val="center"/>
          </w:tcPr>
          <w:p w14:paraId="0B1FC3EA">
            <w:pPr>
              <w:widowControl/>
              <w:jc w:val="left"/>
              <w:rPr>
                <w:rFonts w:hint="eastAsia" w:ascii="宋体" w:hAnsi="宋体" w:eastAsia="宋体" w:cs="宋体"/>
                <w:color w:val="000000"/>
                <w:kern w:val="0"/>
                <w:sz w:val="18"/>
                <w:szCs w:val="18"/>
              </w:rPr>
            </w:pPr>
          </w:p>
        </w:tc>
      </w:tr>
      <w:tr w14:paraId="2D2DA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3DD4DD17">
            <w:pPr>
              <w:widowControl/>
              <w:jc w:val="left"/>
              <w:rPr>
                <w:rFonts w:hint="eastAsia" w:ascii="宋体" w:hAnsi="宋体" w:eastAsia="宋体" w:cs="宋体"/>
                <w:color w:val="000000"/>
                <w:kern w:val="0"/>
                <w:sz w:val="18"/>
                <w:szCs w:val="18"/>
              </w:rPr>
            </w:pPr>
          </w:p>
        </w:tc>
        <w:tc>
          <w:tcPr>
            <w:tcW w:w="505" w:type="pct"/>
            <w:vMerge w:val="continue"/>
            <w:vAlign w:val="center"/>
          </w:tcPr>
          <w:p w14:paraId="2A329978">
            <w:pPr>
              <w:widowControl/>
              <w:jc w:val="left"/>
              <w:rPr>
                <w:rFonts w:hint="eastAsia" w:ascii="宋体" w:hAnsi="宋体" w:eastAsia="宋体" w:cs="宋体"/>
                <w:color w:val="000000"/>
                <w:kern w:val="0"/>
                <w:sz w:val="18"/>
                <w:szCs w:val="18"/>
              </w:rPr>
            </w:pPr>
          </w:p>
        </w:tc>
        <w:tc>
          <w:tcPr>
            <w:tcW w:w="874" w:type="pct"/>
            <w:vMerge w:val="continue"/>
            <w:vAlign w:val="center"/>
          </w:tcPr>
          <w:p w14:paraId="72364976">
            <w:pPr>
              <w:widowControl/>
              <w:jc w:val="left"/>
              <w:rPr>
                <w:rFonts w:hint="eastAsia" w:ascii="宋体" w:hAnsi="宋体" w:eastAsia="宋体" w:cs="宋体"/>
                <w:color w:val="000000"/>
                <w:kern w:val="0"/>
                <w:sz w:val="18"/>
                <w:szCs w:val="18"/>
              </w:rPr>
            </w:pPr>
          </w:p>
        </w:tc>
        <w:tc>
          <w:tcPr>
            <w:tcW w:w="1115" w:type="pct"/>
            <w:vMerge w:val="continue"/>
            <w:vAlign w:val="center"/>
          </w:tcPr>
          <w:p w14:paraId="27AD2EE7">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39ED114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(2.0，3.0]</w:t>
            </w:r>
          </w:p>
        </w:tc>
        <w:tc>
          <w:tcPr>
            <w:tcW w:w="431" w:type="pct"/>
            <w:shd w:val="clear" w:color="auto" w:fill="auto"/>
            <w:vAlign w:val="center"/>
          </w:tcPr>
          <w:p w14:paraId="56BCEE4B">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15</w:t>
            </w:r>
          </w:p>
        </w:tc>
        <w:tc>
          <w:tcPr>
            <w:tcW w:w="387" w:type="pct"/>
            <w:vMerge w:val="continue"/>
            <w:vAlign w:val="center"/>
          </w:tcPr>
          <w:p w14:paraId="290E85BE">
            <w:pPr>
              <w:widowControl/>
              <w:jc w:val="left"/>
              <w:rPr>
                <w:rFonts w:hint="eastAsia" w:ascii="宋体" w:hAnsi="宋体" w:eastAsia="宋体" w:cs="宋体"/>
                <w:color w:val="000000"/>
                <w:kern w:val="0"/>
                <w:sz w:val="18"/>
                <w:szCs w:val="18"/>
              </w:rPr>
            </w:pPr>
          </w:p>
        </w:tc>
      </w:tr>
      <w:tr w14:paraId="6A4C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4AE007DD">
            <w:pPr>
              <w:widowControl/>
              <w:jc w:val="left"/>
              <w:rPr>
                <w:rFonts w:hint="eastAsia" w:ascii="宋体" w:hAnsi="宋体" w:eastAsia="宋体" w:cs="宋体"/>
                <w:color w:val="000000"/>
                <w:kern w:val="0"/>
                <w:sz w:val="18"/>
                <w:szCs w:val="18"/>
              </w:rPr>
            </w:pPr>
          </w:p>
        </w:tc>
        <w:tc>
          <w:tcPr>
            <w:tcW w:w="505" w:type="pct"/>
            <w:vMerge w:val="continue"/>
            <w:vAlign w:val="center"/>
          </w:tcPr>
          <w:p w14:paraId="0F9A7929">
            <w:pPr>
              <w:widowControl/>
              <w:jc w:val="left"/>
              <w:rPr>
                <w:rFonts w:hint="eastAsia" w:ascii="宋体" w:hAnsi="宋体" w:eastAsia="宋体" w:cs="宋体"/>
                <w:color w:val="000000"/>
                <w:kern w:val="0"/>
                <w:sz w:val="18"/>
                <w:szCs w:val="18"/>
              </w:rPr>
            </w:pPr>
          </w:p>
        </w:tc>
        <w:tc>
          <w:tcPr>
            <w:tcW w:w="874" w:type="pct"/>
            <w:vMerge w:val="continue"/>
            <w:vAlign w:val="center"/>
          </w:tcPr>
          <w:p w14:paraId="3426E580">
            <w:pPr>
              <w:widowControl/>
              <w:jc w:val="left"/>
              <w:rPr>
                <w:rFonts w:hint="eastAsia" w:ascii="宋体" w:hAnsi="宋体" w:eastAsia="宋体" w:cs="宋体"/>
                <w:color w:val="000000"/>
                <w:kern w:val="0"/>
                <w:sz w:val="18"/>
                <w:szCs w:val="18"/>
              </w:rPr>
            </w:pPr>
          </w:p>
        </w:tc>
        <w:tc>
          <w:tcPr>
            <w:tcW w:w="1115" w:type="pct"/>
            <w:vMerge w:val="continue"/>
            <w:vAlign w:val="center"/>
          </w:tcPr>
          <w:p w14:paraId="533F1D8A">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375D204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(1.0，2.0]</w:t>
            </w:r>
          </w:p>
        </w:tc>
        <w:tc>
          <w:tcPr>
            <w:tcW w:w="431" w:type="pct"/>
            <w:shd w:val="clear" w:color="auto" w:fill="auto"/>
            <w:vAlign w:val="center"/>
          </w:tcPr>
          <w:p w14:paraId="0AAB57C0">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w:t>
            </w:r>
          </w:p>
        </w:tc>
        <w:tc>
          <w:tcPr>
            <w:tcW w:w="387" w:type="pct"/>
            <w:vMerge w:val="continue"/>
            <w:vAlign w:val="center"/>
          </w:tcPr>
          <w:p w14:paraId="6A521712">
            <w:pPr>
              <w:widowControl/>
              <w:jc w:val="left"/>
              <w:rPr>
                <w:rFonts w:hint="eastAsia" w:ascii="宋体" w:hAnsi="宋体" w:eastAsia="宋体" w:cs="宋体"/>
                <w:color w:val="000000"/>
                <w:kern w:val="0"/>
                <w:sz w:val="18"/>
                <w:szCs w:val="18"/>
              </w:rPr>
            </w:pPr>
          </w:p>
        </w:tc>
      </w:tr>
      <w:tr w14:paraId="10F3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00EEF843">
            <w:pPr>
              <w:widowControl/>
              <w:jc w:val="left"/>
              <w:rPr>
                <w:rFonts w:hint="eastAsia" w:ascii="宋体" w:hAnsi="宋体" w:eastAsia="宋体" w:cs="宋体"/>
                <w:color w:val="000000"/>
                <w:kern w:val="0"/>
                <w:sz w:val="18"/>
                <w:szCs w:val="18"/>
              </w:rPr>
            </w:pPr>
          </w:p>
        </w:tc>
        <w:tc>
          <w:tcPr>
            <w:tcW w:w="505" w:type="pct"/>
            <w:vMerge w:val="continue"/>
            <w:vAlign w:val="center"/>
          </w:tcPr>
          <w:p w14:paraId="6AB6D870">
            <w:pPr>
              <w:widowControl/>
              <w:jc w:val="left"/>
              <w:rPr>
                <w:rFonts w:hint="eastAsia" w:ascii="宋体" w:hAnsi="宋体" w:eastAsia="宋体" w:cs="宋体"/>
                <w:color w:val="000000"/>
                <w:kern w:val="0"/>
                <w:sz w:val="18"/>
                <w:szCs w:val="18"/>
              </w:rPr>
            </w:pPr>
          </w:p>
        </w:tc>
        <w:tc>
          <w:tcPr>
            <w:tcW w:w="874" w:type="pct"/>
            <w:vMerge w:val="continue"/>
            <w:vAlign w:val="center"/>
          </w:tcPr>
          <w:p w14:paraId="039A2014">
            <w:pPr>
              <w:widowControl/>
              <w:jc w:val="left"/>
              <w:rPr>
                <w:rFonts w:hint="eastAsia" w:ascii="宋体" w:hAnsi="宋体" w:eastAsia="宋体" w:cs="宋体"/>
                <w:color w:val="000000"/>
                <w:kern w:val="0"/>
                <w:sz w:val="18"/>
                <w:szCs w:val="18"/>
              </w:rPr>
            </w:pPr>
          </w:p>
        </w:tc>
        <w:tc>
          <w:tcPr>
            <w:tcW w:w="1115" w:type="pct"/>
            <w:vMerge w:val="continue"/>
            <w:vAlign w:val="center"/>
          </w:tcPr>
          <w:p w14:paraId="4ACD409C">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3F3473F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(0，1.0]</w:t>
            </w:r>
          </w:p>
        </w:tc>
        <w:tc>
          <w:tcPr>
            <w:tcW w:w="431" w:type="pct"/>
            <w:shd w:val="clear" w:color="auto" w:fill="auto"/>
            <w:vAlign w:val="center"/>
          </w:tcPr>
          <w:p w14:paraId="5A52B083">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w:t>
            </w:r>
          </w:p>
        </w:tc>
        <w:tc>
          <w:tcPr>
            <w:tcW w:w="387" w:type="pct"/>
            <w:vMerge w:val="continue"/>
            <w:vAlign w:val="center"/>
          </w:tcPr>
          <w:p w14:paraId="314A783E">
            <w:pPr>
              <w:widowControl/>
              <w:jc w:val="left"/>
              <w:rPr>
                <w:rFonts w:hint="eastAsia" w:ascii="宋体" w:hAnsi="宋体" w:eastAsia="宋体" w:cs="宋体"/>
                <w:color w:val="000000"/>
                <w:kern w:val="0"/>
                <w:sz w:val="18"/>
                <w:szCs w:val="18"/>
              </w:rPr>
            </w:pPr>
          </w:p>
        </w:tc>
      </w:tr>
      <w:tr w14:paraId="47F6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58" w:type="pct"/>
            <w:vMerge w:val="continue"/>
          </w:tcPr>
          <w:p w14:paraId="70ADD78B">
            <w:pPr>
              <w:widowControl/>
              <w:jc w:val="left"/>
              <w:rPr>
                <w:rFonts w:hint="eastAsia" w:ascii="宋体" w:hAnsi="宋体" w:eastAsia="宋体" w:cs="宋体"/>
                <w:color w:val="000000"/>
                <w:kern w:val="0"/>
                <w:sz w:val="18"/>
                <w:szCs w:val="18"/>
              </w:rPr>
            </w:pPr>
          </w:p>
        </w:tc>
        <w:tc>
          <w:tcPr>
            <w:tcW w:w="505" w:type="pct"/>
            <w:vMerge w:val="continue"/>
            <w:vAlign w:val="center"/>
          </w:tcPr>
          <w:p w14:paraId="5832D76C">
            <w:pPr>
              <w:widowControl/>
              <w:jc w:val="left"/>
              <w:rPr>
                <w:rFonts w:hint="eastAsia" w:ascii="宋体" w:hAnsi="宋体" w:eastAsia="宋体" w:cs="宋体"/>
                <w:color w:val="000000"/>
                <w:kern w:val="0"/>
                <w:sz w:val="18"/>
                <w:szCs w:val="18"/>
              </w:rPr>
            </w:pPr>
          </w:p>
        </w:tc>
        <w:tc>
          <w:tcPr>
            <w:tcW w:w="874" w:type="pct"/>
            <w:vMerge w:val="continue"/>
            <w:vAlign w:val="center"/>
          </w:tcPr>
          <w:p w14:paraId="317F21AD">
            <w:pPr>
              <w:widowControl/>
              <w:jc w:val="left"/>
              <w:rPr>
                <w:rFonts w:hint="eastAsia" w:ascii="宋体" w:hAnsi="宋体" w:eastAsia="宋体" w:cs="宋体"/>
                <w:color w:val="000000"/>
                <w:kern w:val="0"/>
                <w:sz w:val="18"/>
                <w:szCs w:val="18"/>
              </w:rPr>
            </w:pPr>
          </w:p>
        </w:tc>
        <w:tc>
          <w:tcPr>
            <w:tcW w:w="1115" w:type="pct"/>
            <w:vMerge w:val="continue"/>
            <w:vAlign w:val="center"/>
          </w:tcPr>
          <w:p w14:paraId="753BC2B6">
            <w:pPr>
              <w:widowControl/>
              <w:jc w:val="left"/>
              <w:rPr>
                <w:rFonts w:hint="eastAsia" w:ascii="宋体" w:hAnsi="宋体" w:eastAsia="宋体" w:cs="宋体"/>
                <w:color w:val="000000"/>
                <w:kern w:val="0"/>
                <w:sz w:val="18"/>
                <w:szCs w:val="18"/>
              </w:rPr>
            </w:pPr>
          </w:p>
        </w:tc>
        <w:tc>
          <w:tcPr>
            <w:tcW w:w="1226" w:type="pct"/>
            <w:shd w:val="clear" w:color="auto" w:fill="auto"/>
            <w:vAlign w:val="center"/>
          </w:tcPr>
          <w:p w14:paraId="10A9AA4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431" w:type="pct"/>
            <w:shd w:val="clear" w:color="auto" w:fill="auto"/>
            <w:vAlign w:val="center"/>
          </w:tcPr>
          <w:p w14:paraId="57F6C18E">
            <w:pPr>
              <w:widowControl/>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0</w:t>
            </w:r>
          </w:p>
        </w:tc>
        <w:tc>
          <w:tcPr>
            <w:tcW w:w="387" w:type="pct"/>
            <w:vMerge w:val="continue"/>
            <w:vAlign w:val="center"/>
          </w:tcPr>
          <w:p w14:paraId="306C5B46">
            <w:pPr>
              <w:widowControl/>
              <w:jc w:val="left"/>
              <w:rPr>
                <w:rFonts w:hint="eastAsia" w:ascii="宋体" w:hAnsi="宋体" w:eastAsia="宋体" w:cs="宋体"/>
                <w:color w:val="000000"/>
                <w:kern w:val="0"/>
                <w:sz w:val="18"/>
                <w:szCs w:val="18"/>
              </w:rPr>
            </w:pPr>
          </w:p>
        </w:tc>
      </w:tr>
      <w:tr w14:paraId="3DF3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000" w:type="pct"/>
            <w:gridSpan w:val="7"/>
          </w:tcPr>
          <w:p w14:paraId="5120495C">
            <w:pPr>
              <w:ind w:left="360" w:hanging="360" w:hangingChars="200"/>
              <w:rPr>
                <w:rFonts w:hint="eastAsia" w:ascii="宋体" w:hAnsi="宋体" w:eastAsia="宋体" w:cs="宋体"/>
                <w:color w:val="000000"/>
                <w:sz w:val="18"/>
                <w:szCs w:val="18"/>
              </w:rPr>
            </w:pPr>
            <w:r>
              <w:rPr>
                <w:rFonts w:hint="eastAsia" w:ascii="宋体" w:hAnsi="宋体" w:eastAsia="宋体" w:cs="宋体"/>
                <w:color w:val="000000"/>
                <w:sz w:val="18"/>
                <w:szCs w:val="18"/>
              </w:rPr>
              <w:t>注1：</w:t>
            </w:r>
            <w:r>
              <w:rPr>
                <w:rFonts w:hint="eastAsia" w:ascii="宋体" w:hAnsi="宋体" w:eastAsia="宋体" w:cs="宋体"/>
                <w:color w:val="000000"/>
                <w:kern w:val="0"/>
                <w:sz w:val="18"/>
                <w:szCs w:val="18"/>
              </w:rPr>
              <w:t>地下水污染倍数，</w:t>
            </w:r>
            <w:r>
              <w:rPr>
                <w:rFonts w:hint="eastAsia" w:ascii="宋体" w:hAnsi="宋体" w:eastAsia="宋体" w:cs="宋体"/>
                <w:color w:val="000000"/>
                <w:sz w:val="18"/>
                <w:szCs w:val="18"/>
              </w:rPr>
              <w:t>指在风险单元污染管控断面山下游20m范围内地下水监测点位中，检出</w:t>
            </w:r>
            <w:r>
              <w:rPr>
                <w:rFonts w:hint="eastAsia" w:ascii="宋体" w:hAnsi="宋体" w:eastAsia="宋体" w:cs="宋体"/>
                <w:sz w:val="18"/>
                <w:szCs w:val="18"/>
              </w:rPr>
              <w:t>特征污染物浓度超过对照点浓度的最大倍数。</w:t>
            </w:r>
          </w:p>
          <w:p w14:paraId="5EAB39CB">
            <w:pPr>
              <w:ind w:left="360" w:hanging="360" w:hangingChars="200"/>
              <w:rPr>
                <w:rFonts w:hint="eastAsia" w:ascii="宋体" w:hAnsi="宋体" w:eastAsia="宋体" w:cs="宋体"/>
                <w:color w:val="000000"/>
                <w:sz w:val="18"/>
                <w:szCs w:val="18"/>
              </w:rPr>
            </w:pPr>
            <w:r>
              <w:rPr>
                <w:rFonts w:hint="eastAsia" w:ascii="宋体" w:hAnsi="宋体" w:eastAsia="宋体" w:cs="宋体"/>
                <w:color w:val="000000"/>
                <w:sz w:val="18"/>
                <w:szCs w:val="18"/>
              </w:rPr>
              <w:t>注2：</w:t>
            </w:r>
            <w:r>
              <w:rPr>
                <w:rFonts w:hint="eastAsia" w:ascii="宋体" w:hAnsi="宋体" w:eastAsia="宋体" w:cs="宋体"/>
                <w:color w:val="000000"/>
                <w:kern w:val="0"/>
                <w:sz w:val="18"/>
                <w:szCs w:val="18"/>
              </w:rPr>
              <w:t>地表水污染倍数，</w:t>
            </w:r>
            <w:r>
              <w:rPr>
                <w:rFonts w:hint="eastAsia" w:ascii="宋体" w:hAnsi="宋体" w:eastAsia="宋体" w:cs="宋体"/>
                <w:color w:val="000000"/>
                <w:sz w:val="18"/>
                <w:szCs w:val="18"/>
              </w:rPr>
              <w:t>指在风险单元的风险控制断面检出地表水</w:t>
            </w:r>
            <w:r>
              <w:rPr>
                <w:rFonts w:hint="eastAsia" w:ascii="宋体" w:hAnsi="宋体" w:eastAsia="宋体" w:cs="宋体"/>
                <w:sz w:val="18"/>
                <w:szCs w:val="18"/>
              </w:rPr>
              <w:t>特征污染物浓度超过对照点浓度的最大倍数。</w:t>
            </w:r>
          </w:p>
          <w:p w14:paraId="69D505BF">
            <w:pPr>
              <w:ind w:left="360" w:hanging="360" w:hangingChars="200"/>
              <w:rPr>
                <w:rFonts w:hint="eastAsia" w:ascii="宋体" w:hAnsi="宋体" w:eastAsia="宋体" w:cs="宋体"/>
                <w:color w:val="000000"/>
                <w:sz w:val="18"/>
                <w:szCs w:val="18"/>
              </w:rPr>
            </w:pPr>
            <w:r>
              <w:rPr>
                <w:rFonts w:hint="eastAsia" w:ascii="宋体" w:hAnsi="宋体" w:eastAsia="宋体" w:cs="宋体"/>
                <w:color w:val="000000"/>
                <w:sz w:val="18"/>
                <w:szCs w:val="18"/>
              </w:rPr>
              <w:t>注3：“</w:t>
            </w:r>
            <w:r>
              <w:rPr>
                <w:rFonts w:hint="eastAsia" w:ascii="宋体" w:hAnsi="宋体" w:eastAsia="宋体" w:cs="宋体"/>
                <w:color w:val="000000"/>
                <w:kern w:val="0"/>
                <w:sz w:val="18"/>
                <w:szCs w:val="18"/>
              </w:rPr>
              <w:t>磺水”等表观劣质水河段长度，</w:t>
            </w:r>
            <w:r>
              <w:rPr>
                <w:rFonts w:hint="eastAsia" w:ascii="宋体" w:hAnsi="宋体" w:eastAsia="宋体" w:cs="宋体"/>
                <w:color w:val="000000"/>
                <w:sz w:val="18"/>
                <w:szCs w:val="18"/>
              </w:rPr>
              <w:t>指风险单元内主沟道及单元外下游河道可见“</w:t>
            </w:r>
            <w:r>
              <w:rPr>
                <w:rFonts w:hint="eastAsia" w:ascii="宋体" w:hAnsi="宋体" w:eastAsia="宋体" w:cs="宋体"/>
                <w:color w:val="000000"/>
                <w:kern w:val="0"/>
                <w:sz w:val="18"/>
                <w:szCs w:val="18"/>
              </w:rPr>
              <w:t>磺水”的</w:t>
            </w:r>
            <w:r>
              <w:rPr>
                <w:rFonts w:hint="eastAsia" w:ascii="宋体" w:hAnsi="宋体" w:eastAsia="宋体" w:cs="宋体"/>
                <w:color w:val="000000"/>
                <w:sz w:val="18"/>
                <w:szCs w:val="18"/>
              </w:rPr>
              <w:t>曲线长度。</w:t>
            </w:r>
          </w:p>
          <w:p w14:paraId="2C4A6AE5">
            <w:pPr>
              <w:ind w:left="360" w:hanging="360" w:hangingChars="200"/>
              <w:rPr>
                <w:rFonts w:hint="eastAsia" w:ascii="宋体" w:hAnsi="宋体" w:eastAsia="宋体" w:cs="宋体"/>
                <w:color w:val="000000"/>
                <w:sz w:val="18"/>
                <w:szCs w:val="18"/>
              </w:rPr>
            </w:pPr>
            <w:r>
              <w:rPr>
                <w:rFonts w:hint="eastAsia" w:ascii="宋体" w:hAnsi="宋体" w:eastAsia="宋体" w:cs="宋体"/>
                <w:color w:val="000000"/>
                <w:sz w:val="18"/>
                <w:szCs w:val="18"/>
              </w:rPr>
              <w:t>注4：地形坡度计算公示为：</w:t>
            </w:r>
            <w:r>
              <w:rPr>
                <w:rFonts w:ascii="宋体" w:hAnsi="宋体" w:eastAsia="宋体" w:cs="宋体"/>
                <w:color w:val="000000"/>
                <w:sz w:val="18"/>
                <w:szCs w:val="18"/>
              </w:rPr>
              <w:t>S=Arctan(h/l)</w:t>
            </w:r>
            <w:r>
              <w:rPr>
                <w:rFonts w:hint="eastAsia" w:ascii="宋体" w:hAnsi="宋体" w:eastAsia="宋体" w:cs="宋体"/>
                <w:color w:val="000000"/>
                <w:sz w:val="18"/>
                <w:szCs w:val="18"/>
              </w:rPr>
              <w:t>，其中S为地形坡度，h为风险单元内的对照对面与风险控制断面的高程差，</w:t>
            </w:r>
            <w:r>
              <w:rPr>
                <w:rFonts w:ascii="宋体" w:hAnsi="宋体" w:eastAsia="宋体" w:cs="宋体"/>
                <w:color w:val="000000"/>
                <w:sz w:val="18"/>
                <w:szCs w:val="18"/>
              </w:rPr>
              <w:t>l</w:t>
            </w:r>
            <w:r>
              <w:rPr>
                <w:rFonts w:hint="eastAsia" w:ascii="宋体" w:hAnsi="宋体" w:eastAsia="宋体" w:cs="宋体"/>
                <w:color w:val="000000"/>
                <w:sz w:val="18"/>
                <w:szCs w:val="18"/>
              </w:rPr>
              <w:t>为两个断面间的坡面水平长度。</w:t>
            </w:r>
          </w:p>
        </w:tc>
      </w:tr>
    </w:tbl>
    <w:p w14:paraId="00CD06A7">
      <w:pPr>
        <w:rPr>
          <w:rFonts w:ascii="Times New Roman" w:hAnsi="Times New Roman" w:eastAsia="宋体"/>
          <w:color w:val="000000"/>
          <w:szCs w:val="21"/>
        </w:rPr>
        <w:sectPr>
          <w:pgSz w:w="11906" w:h="16838"/>
          <w:pgMar w:top="1440" w:right="1800" w:bottom="1440" w:left="1800" w:header="851" w:footer="992" w:gutter="0"/>
          <w:cols w:space="720" w:num="1"/>
          <w:docGrid w:type="lines" w:linePitch="312" w:charSpace="0"/>
        </w:sectPr>
      </w:pPr>
    </w:p>
    <w:p w14:paraId="41649724">
      <w:pPr>
        <w:pageBreakBefore/>
        <w:overflowPunct w:val="0"/>
        <w:adjustRightInd w:val="0"/>
        <w:snapToGrid w:val="0"/>
        <w:spacing w:before="120" w:after="120"/>
        <w:jc w:val="center"/>
        <w:outlineLvl w:val="0"/>
        <w:rPr>
          <w:rFonts w:hint="eastAsia" w:ascii="黑体" w:hAnsi="黑体" w:eastAsia="黑体" w:cs="黑体"/>
          <w:bCs/>
          <w:kern w:val="36"/>
          <w:szCs w:val="21"/>
        </w:rPr>
      </w:pPr>
      <w:bookmarkStart w:id="150" w:name="_Toc194589009"/>
      <w:r>
        <w:rPr>
          <w:rFonts w:hint="eastAsia" w:ascii="黑体" w:hAnsi="黑体" w:eastAsia="黑体" w:cs="黑体"/>
          <w:bCs/>
          <w:kern w:val="36"/>
          <w:szCs w:val="21"/>
        </w:rPr>
        <w:t xml:space="preserve">附  录 C </w:t>
      </w:r>
      <w:r>
        <w:rPr>
          <w:rFonts w:hint="eastAsia" w:ascii="黑体" w:hAnsi="黑体" w:eastAsia="黑体" w:cs="黑体"/>
          <w:bCs/>
          <w:kern w:val="36"/>
          <w:szCs w:val="21"/>
        </w:rPr>
        <w:br w:type="textWrapping"/>
      </w:r>
      <w:r>
        <w:rPr>
          <w:rFonts w:hint="eastAsia" w:ascii="黑体" w:hAnsi="黑体" w:eastAsia="黑体" w:cs="黑体"/>
          <w:bCs/>
          <w:kern w:val="36"/>
          <w:szCs w:val="21"/>
        </w:rPr>
        <w:t>（规范性）</w:t>
      </w:r>
      <w:bookmarkEnd w:id="150"/>
    </w:p>
    <w:p w14:paraId="4B070AEE">
      <w:pPr>
        <w:pStyle w:val="71"/>
      </w:pPr>
      <w:bookmarkStart w:id="151" w:name="_Toc193268295"/>
      <w:bookmarkStart w:id="152" w:name="_Toc194589010"/>
      <w:r>
        <w:t>环境敏感性指标评分表</w:t>
      </w:r>
      <w:bookmarkEnd w:id="151"/>
      <w:bookmarkEnd w:id="152"/>
    </w:p>
    <w:p w14:paraId="683B37E8">
      <w:pPr>
        <w:pStyle w:val="2"/>
        <w:spacing w:before="120" w:beforeAutospacing="0" w:afterAutospacing="0"/>
        <w:jc w:val="center"/>
        <w:rPr>
          <w:rFonts w:ascii="黑体" w:hAnsi="黑体" w:eastAsia="黑体" w:cs="黑体"/>
          <w:b w:val="0"/>
          <w:bCs/>
          <w:kern w:val="36"/>
          <w:sz w:val="21"/>
          <w:szCs w:val="21"/>
        </w:rPr>
      </w:pPr>
      <w:bookmarkStart w:id="153" w:name="_Toc194589011"/>
      <w:bookmarkStart w:id="154" w:name="_Toc181892437"/>
      <w:bookmarkStart w:id="155" w:name="_Toc193189078"/>
      <w:bookmarkStart w:id="156" w:name="_Toc183542823"/>
      <w:bookmarkStart w:id="157" w:name="_Toc193268296"/>
      <w:bookmarkStart w:id="158" w:name="_Toc185097917"/>
      <w:r>
        <w:rPr>
          <w:rFonts w:ascii="黑体" w:hAnsi="黑体" w:eastAsia="黑体" w:cs="黑体"/>
          <w:b w:val="0"/>
          <w:bCs/>
          <w:kern w:val="36"/>
          <w:sz w:val="21"/>
          <w:szCs w:val="21"/>
        </w:rPr>
        <w:t>表C.1 环境敏感性指标评分表</w:t>
      </w:r>
      <w:bookmarkEnd w:id="153"/>
      <w:bookmarkEnd w:id="154"/>
      <w:bookmarkEnd w:id="155"/>
      <w:bookmarkEnd w:id="156"/>
      <w:bookmarkEnd w:id="157"/>
      <w:bookmarkEnd w:id="158"/>
    </w:p>
    <w:tbl>
      <w:tblPr>
        <w:tblStyle w:val="24"/>
        <w:tblW w:w="8272" w:type="dxa"/>
        <w:tblInd w:w="0" w:type="dxa"/>
        <w:tblLayout w:type="fixed"/>
        <w:tblCellMar>
          <w:top w:w="0" w:type="dxa"/>
          <w:left w:w="108" w:type="dxa"/>
          <w:bottom w:w="0" w:type="dxa"/>
          <w:right w:w="108" w:type="dxa"/>
        </w:tblCellMar>
      </w:tblPr>
      <w:tblGrid>
        <w:gridCol w:w="956"/>
        <w:gridCol w:w="956"/>
        <w:gridCol w:w="1344"/>
        <w:gridCol w:w="3495"/>
        <w:gridCol w:w="801"/>
        <w:gridCol w:w="720"/>
      </w:tblGrid>
      <w:tr w14:paraId="0A7FD1A8">
        <w:tblPrEx>
          <w:tblCellMar>
            <w:top w:w="0" w:type="dxa"/>
            <w:left w:w="108" w:type="dxa"/>
            <w:bottom w:w="0" w:type="dxa"/>
            <w:right w:w="108" w:type="dxa"/>
          </w:tblCellMar>
        </w:tblPrEx>
        <w:trPr>
          <w:trHeight w:val="284" w:hRule="atLeast"/>
        </w:trPr>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AB4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目标层</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2ACA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准则层</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C2C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指标层</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424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分级标准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614D">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BA1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r>
      <w:tr w14:paraId="3A9EE91B">
        <w:tblPrEx>
          <w:tblCellMar>
            <w:top w:w="0" w:type="dxa"/>
            <w:left w:w="108" w:type="dxa"/>
            <w:bottom w:w="0" w:type="dxa"/>
            <w:right w:w="108" w:type="dxa"/>
          </w:tblCellMar>
        </w:tblPrEx>
        <w:trPr>
          <w:trHeight w:val="284" w:hRule="atLeast"/>
        </w:trPr>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9AC55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环境敏感性</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9173FF">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水体敏感性</w:t>
            </w: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1BCBD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涉及重要断面</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A90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含有国控断面</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B09C">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9318F">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52</w:t>
            </w:r>
          </w:p>
        </w:tc>
      </w:tr>
      <w:tr w14:paraId="1BF6188C">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18673">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FDB39">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9CD7B">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D53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含有省控断面</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D015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93655">
            <w:pPr>
              <w:widowControl/>
              <w:jc w:val="left"/>
              <w:rPr>
                <w:rFonts w:hint="eastAsia" w:ascii="宋体" w:hAnsi="宋体" w:eastAsia="宋体" w:cs="宋体"/>
                <w:color w:val="000000"/>
                <w:kern w:val="0"/>
                <w:sz w:val="18"/>
                <w:szCs w:val="18"/>
              </w:rPr>
            </w:pPr>
          </w:p>
        </w:tc>
      </w:tr>
      <w:tr w14:paraId="22AA972D">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87924">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C4275">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E36F3">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0E2C">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含有市控断面</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9E9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45416">
            <w:pPr>
              <w:widowControl/>
              <w:jc w:val="left"/>
              <w:rPr>
                <w:rFonts w:hint="eastAsia" w:ascii="宋体" w:hAnsi="宋体" w:eastAsia="宋体" w:cs="宋体"/>
                <w:color w:val="000000"/>
                <w:kern w:val="0"/>
                <w:sz w:val="18"/>
                <w:szCs w:val="18"/>
              </w:rPr>
            </w:pPr>
          </w:p>
        </w:tc>
      </w:tr>
      <w:tr w14:paraId="6199A506">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66242">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42757">
            <w:pPr>
              <w:widowControl/>
              <w:jc w:val="left"/>
              <w:rPr>
                <w:rFonts w:hint="eastAsia" w:ascii="宋体" w:hAnsi="宋体" w:eastAsia="宋体" w:cs="宋体"/>
                <w:color w:val="000000"/>
                <w:kern w:val="0"/>
                <w:sz w:val="18"/>
                <w:szCs w:val="18"/>
              </w:rPr>
            </w:pP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85F24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地表水环境功能类别</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C2DB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Ⅰ类、Ⅱ类</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2877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4C795">
            <w:pPr>
              <w:widowControl/>
              <w:jc w:val="left"/>
              <w:rPr>
                <w:rFonts w:hint="eastAsia" w:ascii="宋体" w:hAnsi="宋体" w:eastAsia="宋体" w:cs="宋体"/>
                <w:color w:val="000000"/>
                <w:kern w:val="0"/>
                <w:sz w:val="18"/>
                <w:szCs w:val="18"/>
              </w:rPr>
            </w:pPr>
          </w:p>
        </w:tc>
      </w:tr>
      <w:tr w14:paraId="4EF190D7">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CC7CC">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9B72D">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4F98F">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D65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Ⅲ类</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996F4">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0F631">
            <w:pPr>
              <w:widowControl/>
              <w:jc w:val="left"/>
              <w:rPr>
                <w:rFonts w:hint="eastAsia" w:ascii="宋体" w:hAnsi="宋体" w:eastAsia="宋体" w:cs="宋体"/>
                <w:color w:val="000000"/>
                <w:kern w:val="0"/>
                <w:sz w:val="18"/>
                <w:szCs w:val="18"/>
              </w:rPr>
            </w:pPr>
          </w:p>
        </w:tc>
      </w:tr>
      <w:tr w14:paraId="260F60A1">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E562F">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D06E3">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E2D0C">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057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Ⅳ类</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8E5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F51BC">
            <w:pPr>
              <w:widowControl/>
              <w:jc w:val="left"/>
              <w:rPr>
                <w:rFonts w:hint="eastAsia" w:ascii="宋体" w:hAnsi="宋体" w:eastAsia="宋体" w:cs="宋体"/>
                <w:color w:val="000000"/>
                <w:kern w:val="0"/>
                <w:sz w:val="18"/>
                <w:szCs w:val="18"/>
              </w:rPr>
            </w:pPr>
          </w:p>
        </w:tc>
      </w:tr>
      <w:tr w14:paraId="7FD4607B">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AD755">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39F5C">
            <w:pPr>
              <w:widowControl/>
              <w:jc w:val="left"/>
              <w:rPr>
                <w:rFonts w:hint="eastAsia" w:ascii="宋体" w:hAnsi="宋体" w:eastAsia="宋体" w:cs="宋体"/>
                <w:color w:val="000000"/>
                <w:kern w:val="0"/>
                <w:sz w:val="18"/>
                <w:szCs w:val="18"/>
              </w:rPr>
            </w:pP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57134">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地下水环境功能类别</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972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Ⅰ类、Ⅱ类</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B28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B5BFA">
            <w:pPr>
              <w:widowControl/>
              <w:jc w:val="left"/>
              <w:rPr>
                <w:rFonts w:hint="eastAsia" w:ascii="宋体" w:hAnsi="宋体" w:eastAsia="宋体" w:cs="宋体"/>
                <w:color w:val="000000"/>
                <w:kern w:val="0"/>
                <w:sz w:val="18"/>
                <w:szCs w:val="18"/>
              </w:rPr>
            </w:pPr>
          </w:p>
        </w:tc>
      </w:tr>
      <w:tr w14:paraId="4773DE54">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646A6">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0FA6F">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47401">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3119F">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Ⅲ类</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D0A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BC8D1">
            <w:pPr>
              <w:widowControl/>
              <w:jc w:val="left"/>
              <w:rPr>
                <w:rFonts w:hint="eastAsia" w:ascii="宋体" w:hAnsi="宋体" w:eastAsia="宋体" w:cs="宋体"/>
                <w:color w:val="000000"/>
                <w:kern w:val="0"/>
                <w:sz w:val="18"/>
                <w:szCs w:val="18"/>
              </w:rPr>
            </w:pPr>
          </w:p>
        </w:tc>
      </w:tr>
      <w:tr w14:paraId="50E302D1">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525A4">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1D85A">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5AB05">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ACB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Ⅳ类</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E24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6449D">
            <w:pPr>
              <w:widowControl/>
              <w:jc w:val="left"/>
              <w:rPr>
                <w:rFonts w:hint="eastAsia" w:ascii="宋体" w:hAnsi="宋体" w:eastAsia="宋体" w:cs="宋体"/>
                <w:color w:val="000000"/>
                <w:kern w:val="0"/>
                <w:sz w:val="18"/>
                <w:szCs w:val="18"/>
              </w:rPr>
            </w:pPr>
          </w:p>
        </w:tc>
      </w:tr>
      <w:tr w14:paraId="12CD0D3F">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FE637">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FA11A">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4231B">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3B9A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Ⅴ类</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CC1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2ECA4">
            <w:pPr>
              <w:widowControl/>
              <w:jc w:val="left"/>
              <w:rPr>
                <w:rFonts w:hint="eastAsia" w:ascii="宋体" w:hAnsi="宋体" w:eastAsia="宋体" w:cs="宋体"/>
                <w:color w:val="000000"/>
                <w:kern w:val="0"/>
                <w:sz w:val="18"/>
                <w:szCs w:val="18"/>
              </w:rPr>
            </w:pPr>
          </w:p>
        </w:tc>
      </w:tr>
      <w:tr w14:paraId="4E069D2C">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1F02B">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78A00">
            <w:pPr>
              <w:widowControl/>
              <w:jc w:val="left"/>
              <w:rPr>
                <w:rFonts w:hint="eastAsia" w:ascii="宋体" w:hAnsi="宋体" w:eastAsia="宋体" w:cs="宋体"/>
                <w:color w:val="000000"/>
                <w:kern w:val="0"/>
                <w:sz w:val="18"/>
                <w:szCs w:val="18"/>
              </w:rPr>
            </w:pP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5D67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涉及饮用水水源及保护区</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D95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“千吨万人”及以上饮用水水源取水口或保护区</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D9C3D">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FC99F">
            <w:pPr>
              <w:widowControl/>
              <w:jc w:val="left"/>
              <w:rPr>
                <w:rFonts w:hint="eastAsia" w:ascii="宋体" w:hAnsi="宋体" w:eastAsia="宋体" w:cs="宋体"/>
                <w:color w:val="000000"/>
                <w:kern w:val="0"/>
                <w:sz w:val="18"/>
                <w:szCs w:val="18"/>
              </w:rPr>
            </w:pPr>
          </w:p>
        </w:tc>
      </w:tr>
      <w:tr w14:paraId="73B80166">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8749A">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E2D10">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36EB1">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58C4">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“百吨千人”饮用水水源取水口或保护区</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103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73D50">
            <w:pPr>
              <w:widowControl/>
              <w:jc w:val="left"/>
              <w:rPr>
                <w:rFonts w:hint="eastAsia" w:ascii="宋体" w:hAnsi="宋体" w:eastAsia="宋体" w:cs="宋体"/>
                <w:color w:val="000000"/>
                <w:kern w:val="0"/>
                <w:sz w:val="18"/>
                <w:szCs w:val="18"/>
              </w:rPr>
            </w:pPr>
          </w:p>
        </w:tc>
      </w:tr>
      <w:tr w14:paraId="07275401">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A9000">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34A36">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2B6FB">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B25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5个及以上分散式饮用水水源点（井）</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FC64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6B7D6">
            <w:pPr>
              <w:widowControl/>
              <w:jc w:val="left"/>
              <w:rPr>
                <w:rFonts w:hint="eastAsia" w:ascii="宋体" w:hAnsi="宋体" w:eastAsia="宋体" w:cs="宋体"/>
                <w:color w:val="000000"/>
                <w:kern w:val="0"/>
                <w:sz w:val="18"/>
                <w:szCs w:val="18"/>
              </w:rPr>
            </w:pPr>
          </w:p>
        </w:tc>
      </w:tr>
      <w:tr w14:paraId="0929CD72">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E53E1">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483FB">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7F23A">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5DD4">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5个以下分散式饮用水水源点（井）</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882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3F6A4">
            <w:pPr>
              <w:widowControl/>
              <w:jc w:val="left"/>
              <w:rPr>
                <w:rFonts w:hint="eastAsia" w:ascii="宋体" w:hAnsi="宋体" w:eastAsia="宋体" w:cs="宋体"/>
                <w:color w:val="000000"/>
                <w:kern w:val="0"/>
                <w:sz w:val="18"/>
                <w:szCs w:val="18"/>
              </w:rPr>
            </w:pPr>
          </w:p>
        </w:tc>
      </w:tr>
      <w:tr w14:paraId="434B1F1B">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B360E">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56DEF">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7422A">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22504">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无分散式饮用水水源点（井）</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E98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619DD">
            <w:pPr>
              <w:widowControl/>
              <w:jc w:val="left"/>
              <w:rPr>
                <w:rFonts w:hint="eastAsia" w:ascii="宋体" w:hAnsi="宋体" w:eastAsia="宋体" w:cs="宋体"/>
                <w:color w:val="000000"/>
                <w:kern w:val="0"/>
                <w:sz w:val="18"/>
                <w:szCs w:val="18"/>
              </w:rPr>
            </w:pPr>
          </w:p>
        </w:tc>
      </w:tr>
      <w:tr w14:paraId="11EBFEBC">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53756">
            <w:pPr>
              <w:widowControl/>
              <w:jc w:val="left"/>
              <w:rPr>
                <w:rFonts w:hint="eastAsia" w:ascii="宋体" w:hAnsi="宋体" w:eastAsia="宋体" w:cs="宋体"/>
                <w:color w:val="000000"/>
                <w:kern w:val="0"/>
                <w:sz w:val="18"/>
                <w:szCs w:val="18"/>
              </w:rPr>
            </w:pP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58A0A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人群敏感性</w:t>
            </w: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717C8">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风险单元内人口数量</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1E9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2C8C">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BB85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r>
      <w:tr w14:paraId="591B50B4">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821F4">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B5532">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04AE9">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AE2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(50，100]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E78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90114">
            <w:pPr>
              <w:widowControl/>
              <w:jc w:val="left"/>
              <w:rPr>
                <w:rFonts w:hint="eastAsia" w:ascii="宋体" w:hAnsi="宋体" w:eastAsia="宋体" w:cs="宋体"/>
                <w:color w:val="000000"/>
                <w:kern w:val="0"/>
                <w:sz w:val="18"/>
                <w:szCs w:val="18"/>
              </w:rPr>
            </w:pPr>
          </w:p>
        </w:tc>
      </w:tr>
      <w:tr w14:paraId="7C443EC7">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3EDB9">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38E00">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B6DE5">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A02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(10，50]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568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B3D87">
            <w:pPr>
              <w:widowControl/>
              <w:jc w:val="left"/>
              <w:rPr>
                <w:rFonts w:hint="eastAsia" w:ascii="宋体" w:hAnsi="宋体" w:eastAsia="宋体" w:cs="宋体"/>
                <w:color w:val="000000"/>
                <w:kern w:val="0"/>
                <w:sz w:val="18"/>
                <w:szCs w:val="18"/>
              </w:rPr>
            </w:pPr>
          </w:p>
        </w:tc>
      </w:tr>
      <w:tr w14:paraId="532A9FD6">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95738">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3F429">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A8330">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AE6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FA8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963E8">
            <w:pPr>
              <w:widowControl/>
              <w:jc w:val="left"/>
              <w:rPr>
                <w:rFonts w:hint="eastAsia" w:ascii="宋体" w:hAnsi="宋体" w:eastAsia="宋体" w:cs="宋体"/>
                <w:color w:val="000000"/>
                <w:kern w:val="0"/>
                <w:sz w:val="18"/>
                <w:szCs w:val="18"/>
              </w:rPr>
            </w:pPr>
          </w:p>
        </w:tc>
      </w:tr>
      <w:tr w14:paraId="2144459B">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2A571">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1AB95">
            <w:pPr>
              <w:widowControl/>
              <w:jc w:val="left"/>
              <w:rPr>
                <w:rFonts w:hint="eastAsia" w:ascii="宋体" w:hAnsi="宋体" w:eastAsia="宋体" w:cs="宋体"/>
                <w:color w:val="000000"/>
                <w:kern w:val="0"/>
                <w:sz w:val="18"/>
                <w:szCs w:val="18"/>
              </w:rPr>
            </w:pP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B02A33">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风险单元外人口数量</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FD3C5">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267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CDE2D">
            <w:pPr>
              <w:widowControl/>
              <w:jc w:val="left"/>
              <w:rPr>
                <w:rFonts w:hint="eastAsia" w:ascii="宋体" w:hAnsi="宋体" w:eastAsia="宋体" w:cs="宋体"/>
                <w:color w:val="000000"/>
                <w:kern w:val="0"/>
                <w:sz w:val="18"/>
                <w:szCs w:val="18"/>
              </w:rPr>
            </w:pPr>
          </w:p>
        </w:tc>
      </w:tr>
      <w:tr w14:paraId="72C9F6BA">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F1C4E">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DC3BC">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AF69D">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AD6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(200，500]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0A72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A6A3A">
            <w:pPr>
              <w:widowControl/>
              <w:jc w:val="left"/>
              <w:rPr>
                <w:rFonts w:hint="eastAsia" w:ascii="宋体" w:hAnsi="宋体" w:eastAsia="宋体" w:cs="宋体"/>
                <w:color w:val="000000"/>
                <w:kern w:val="0"/>
                <w:sz w:val="18"/>
                <w:szCs w:val="18"/>
              </w:rPr>
            </w:pPr>
          </w:p>
        </w:tc>
      </w:tr>
      <w:tr w14:paraId="2AABB818">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B3E99">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D4554">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987E0">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E667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(50，200]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E48D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C1C05">
            <w:pPr>
              <w:widowControl/>
              <w:jc w:val="left"/>
              <w:rPr>
                <w:rFonts w:hint="eastAsia" w:ascii="宋体" w:hAnsi="宋体" w:eastAsia="宋体" w:cs="宋体"/>
                <w:color w:val="000000"/>
                <w:kern w:val="0"/>
                <w:sz w:val="18"/>
                <w:szCs w:val="18"/>
              </w:rPr>
            </w:pPr>
          </w:p>
        </w:tc>
      </w:tr>
      <w:tr w14:paraId="093D4950">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2471D">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EE791">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6A32E">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FF24">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E35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46396">
            <w:pPr>
              <w:widowControl/>
              <w:jc w:val="left"/>
              <w:rPr>
                <w:rFonts w:hint="eastAsia" w:ascii="宋体" w:hAnsi="宋体" w:eastAsia="宋体" w:cs="宋体"/>
                <w:color w:val="000000"/>
                <w:kern w:val="0"/>
                <w:sz w:val="18"/>
                <w:szCs w:val="18"/>
              </w:rPr>
            </w:pPr>
          </w:p>
        </w:tc>
      </w:tr>
      <w:tr w14:paraId="630F5974">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2310C">
            <w:pPr>
              <w:widowControl/>
              <w:jc w:val="left"/>
              <w:rPr>
                <w:rFonts w:hint="eastAsia" w:ascii="宋体" w:hAnsi="宋体" w:eastAsia="宋体" w:cs="宋体"/>
                <w:color w:val="000000"/>
                <w:kern w:val="0"/>
                <w:sz w:val="18"/>
                <w:szCs w:val="18"/>
              </w:rPr>
            </w:pP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0489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土壤敏感性</w:t>
            </w: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CA6C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风险单元内耕地累计面积</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74B2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103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2F6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18</w:t>
            </w:r>
          </w:p>
        </w:tc>
      </w:tr>
      <w:tr w14:paraId="02D9AC4B">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7A057">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F0457">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67C89">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6239">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(50，100]</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DF00">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FE8FA">
            <w:pPr>
              <w:widowControl/>
              <w:jc w:val="left"/>
              <w:rPr>
                <w:rFonts w:hint="eastAsia" w:ascii="宋体" w:hAnsi="宋体" w:eastAsia="宋体" w:cs="宋体"/>
                <w:color w:val="000000"/>
                <w:kern w:val="0"/>
                <w:sz w:val="18"/>
                <w:szCs w:val="18"/>
              </w:rPr>
            </w:pPr>
          </w:p>
        </w:tc>
      </w:tr>
      <w:tr w14:paraId="69C592B3">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37B2E">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98DEC">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66B08">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4D2A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(20，50]</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1DB62">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A2E79">
            <w:pPr>
              <w:widowControl/>
              <w:jc w:val="left"/>
              <w:rPr>
                <w:rFonts w:hint="eastAsia" w:ascii="宋体" w:hAnsi="宋体" w:eastAsia="宋体" w:cs="宋体"/>
                <w:color w:val="000000"/>
                <w:kern w:val="0"/>
                <w:sz w:val="18"/>
                <w:szCs w:val="18"/>
              </w:rPr>
            </w:pPr>
          </w:p>
        </w:tc>
      </w:tr>
      <w:tr w14:paraId="6C9C640D">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9C673">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F196C">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F1070">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681E">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E8B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FA512">
            <w:pPr>
              <w:widowControl/>
              <w:jc w:val="left"/>
              <w:rPr>
                <w:rFonts w:hint="eastAsia" w:ascii="宋体" w:hAnsi="宋体" w:eastAsia="宋体" w:cs="宋体"/>
                <w:color w:val="000000"/>
                <w:kern w:val="0"/>
                <w:sz w:val="18"/>
                <w:szCs w:val="18"/>
              </w:rPr>
            </w:pPr>
          </w:p>
        </w:tc>
      </w:tr>
      <w:tr w14:paraId="32E37580">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72F9F">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ACBFD">
            <w:pPr>
              <w:widowControl/>
              <w:jc w:val="left"/>
              <w:rPr>
                <w:rFonts w:hint="eastAsia" w:ascii="宋体" w:hAnsi="宋体" w:eastAsia="宋体" w:cs="宋体"/>
                <w:color w:val="000000"/>
                <w:kern w:val="0"/>
                <w:sz w:val="18"/>
                <w:szCs w:val="18"/>
              </w:rPr>
            </w:pP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091F6">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风险单元外耕地累计面积</w:t>
            </w: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C5751">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＞500</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AD2C">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63672">
            <w:pPr>
              <w:widowControl/>
              <w:jc w:val="left"/>
              <w:rPr>
                <w:rFonts w:hint="eastAsia" w:ascii="宋体" w:hAnsi="宋体" w:eastAsia="宋体" w:cs="宋体"/>
                <w:color w:val="000000"/>
                <w:kern w:val="0"/>
                <w:sz w:val="18"/>
                <w:szCs w:val="18"/>
              </w:rPr>
            </w:pPr>
          </w:p>
        </w:tc>
      </w:tr>
      <w:tr w14:paraId="32D5860C">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F9148">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55291">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D7597">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17C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(200，500]</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E9CFC">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9725F">
            <w:pPr>
              <w:widowControl/>
              <w:jc w:val="left"/>
              <w:rPr>
                <w:rFonts w:hint="eastAsia" w:ascii="宋体" w:hAnsi="宋体" w:eastAsia="宋体" w:cs="宋体"/>
                <w:color w:val="000000"/>
                <w:kern w:val="0"/>
                <w:sz w:val="18"/>
                <w:szCs w:val="18"/>
              </w:rPr>
            </w:pPr>
          </w:p>
        </w:tc>
      </w:tr>
      <w:tr w14:paraId="47B6D0F2">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4448A">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6353B">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4DCC5">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63E38">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(50，200]</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DBD37">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0BCC7">
            <w:pPr>
              <w:widowControl/>
              <w:jc w:val="left"/>
              <w:rPr>
                <w:rFonts w:hint="eastAsia" w:ascii="宋体" w:hAnsi="宋体" w:eastAsia="宋体" w:cs="宋体"/>
                <w:color w:val="000000"/>
                <w:kern w:val="0"/>
                <w:sz w:val="18"/>
                <w:szCs w:val="18"/>
              </w:rPr>
            </w:pPr>
          </w:p>
        </w:tc>
      </w:tr>
      <w:tr w14:paraId="5C7EBF69">
        <w:tblPrEx>
          <w:tblCellMar>
            <w:top w:w="0" w:type="dxa"/>
            <w:left w:w="108" w:type="dxa"/>
            <w:bottom w:w="0" w:type="dxa"/>
            <w:right w:w="108" w:type="dxa"/>
          </w:tblCellMar>
        </w:tblPrEx>
        <w:trPr>
          <w:trHeight w:val="284" w:hRule="atLeast"/>
        </w:trPr>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AA5A9">
            <w:pPr>
              <w:widowControl/>
              <w:jc w:val="left"/>
              <w:rPr>
                <w:rFonts w:hint="eastAsia" w:ascii="宋体" w:hAnsi="宋体" w:eastAsia="宋体" w:cs="宋体"/>
                <w:color w:val="000000"/>
                <w:kern w:val="0"/>
                <w:sz w:val="18"/>
                <w:szCs w:val="18"/>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224C1">
            <w:pPr>
              <w:widowControl/>
              <w:jc w:val="left"/>
              <w:rPr>
                <w:rFonts w:hint="eastAsia" w:ascii="宋体" w:hAnsi="宋体" w:eastAsia="宋体" w:cs="宋体"/>
                <w:color w:val="000000"/>
                <w:kern w:val="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8CA39">
            <w:pPr>
              <w:widowControl/>
              <w:jc w:val="left"/>
              <w:rPr>
                <w:rFonts w:hint="eastAsia" w:ascii="宋体" w:hAnsi="宋体" w:eastAsia="宋体" w:cs="宋体"/>
                <w:color w:val="000000"/>
                <w:kern w:val="0"/>
                <w:sz w:val="18"/>
                <w:szCs w:val="18"/>
              </w:rPr>
            </w:pPr>
          </w:p>
        </w:tc>
        <w:tc>
          <w:tcPr>
            <w:tcW w:w="3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927A">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F46B">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252C8">
            <w:pPr>
              <w:widowControl/>
              <w:jc w:val="left"/>
              <w:rPr>
                <w:rFonts w:hint="eastAsia" w:ascii="宋体" w:hAnsi="宋体" w:eastAsia="宋体" w:cs="宋体"/>
                <w:color w:val="000000"/>
                <w:kern w:val="0"/>
                <w:sz w:val="18"/>
                <w:szCs w:val="18"/>
              </w:rPr>
            </w:pPr>
          </w:p>
        </w:tc>
      </w:tr>
      <w:tr w14:paraId="6ADCD7CE">
        <w:tblPrEx>
          <w:tblCellMar>
            <w:top w:w="0" w:type="dxa"/>
            <w:left w:w="108" w:type="dxa"/>
            <w:bottom w:w="0" w:type="dxa"/>
            <w:right w:w="108" w:type="dxa"/>
          </w:tblCellMar>
        </w:tblPrEx>
        <w:trPr>
          <w:trHeight w:val="284" w:hRule="atLeast"/>
        </w:trPr>
        <w:tc>
          <w:tcPr>
            <w:tcW w:w="82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8217EF">
            <w:pPr>
              <w:widowControl/>
              <w:ind w:left="360" w:hanging="360" w:hangingChars="200"/>
              <w:jc w:val="left"/>
              <w:rPr>
                <w:rFonts w:hint="eastAsia" w:ascii="宋体" w:hAnsi="宋体" w:eastAsia="宋体" w:cs="宋体"/>
                <w:color w:val="000000"/>
                <w:kern w:val="0"/>
                <w:sz w:val="18"/>
                <w:szCs w:val="18"/>
              </w:rPr>
            </w:pPr>
            <w:r>
              <w:rPr>
                <w:rFonts w:hint="eastAsia" w:ascii="宋体" w:hAnsi="宋体" w:eastAsia="宋体" w:cs="宋体"/>
                <w:color w:val="000000"/>
                <w:sz w:val="18"/>
                <w:szCs w:val="18"/>
              </w:rPr>
              <w:t>注：</w:t>
            </w:r>
            <w:r>
              <w:rPr>
                <w:rFonts w:hint="eastAsia" w:ascii="宋体" w:hAnsi="宋体" w:eastAsia="宋体" w:cs="宋体"/>
                <w:sz w:val="18"/>
                <w:szCs w:val="18"/>
              </w:rPr>
              <w:t>水体敏感性的各指标分级标准同时考虑风险单元内及外部受体，人群敏感性、土壤敏感性指标区分风险单元内、外部受体范围设置评估指标。</w:t>
            </w:r>
          </w:p>
        </w:tc>
      </w:tr>
    </w:tbl>
    <w:p w14:paraId="354FEB94">
      <w:pPr>
        <w:pageBreakBefore/>
        <w:overflowPunct w:val="0"/>
        <w:adjustRightInd w:val="0"/>
        <w:snapToGrid w:val="0"/>
        <w:spacing w:before="120" w:after="120"/>
        <w:jc w:val="center"/>
        <w:outlineLvl w:val="0"/>
        <w:rPr>
          <w:rFonts w:hint="eastAsia" w:ascii="黑体" w:hAnsi="黑体" w:eastAsia="黑体" w:cs="黑体"/>
          <w:bCs/>
          <w:kern w:val="36"/>
          <w:szCs w:val="21"/>
        </w:rPr>
      </w:pPr>
      <w:bookmarkStart w:id="159" w:name="_Toc194589012"/>
      <w:bookmarkStart w:id="160" w:name="_Toc8580"/>
      <w:bookmarkStart w:id="161" w:name="_Toc23054_WPSOffice_Level3"/>
      <w:r>
        <w:rPr>
          <w:rFonts w:hint="eastAsia" w:ascii="黑体" w:hAnsi="黑体" w:eastAsia="黑体" w:cs="黑体"/>
          <w:bCs/>
          <w:kern w:val="36"/>
          <w:szCs w:val="21"/>
        </w:rPr>
        <w:t xml:space="preserve">附  录 D </w:t>
      </w:r>
      <w:r>
        <w:rPr>
          <w:rFonts w:hint="eastAsia" w:ascii="黑体" w:hAnsi="黑体" w:eastAsia="黑体" w:cs="黑体"/>
          <w:bCs/>
          <w:kern w:val="36"/>
          <w:szCs w:val="21"/>
        </w:rPr>
        <w:br w:type="textWrapping"/>
      </w:r>
      <w:r>
        <w:rPr>
          <w:rFonts w:hint="eastAsia" w:ascii="黑体" w:hAnsi="黑体" w:eastAsia="黑体" w:cs="黑体"/>
          <w:bCs/>
          <w:kern w:val="36"/>
          <w:szCs w:val="21"/>
        </w:rPr>
        <w:t>（资料性）</w:t>
      </w:r>
      <w:bookmarkEnd w:id="159"/>
    </w:p>
    <w:p w14:paraId="560D5C6A">
      <w:pPr>
        <w:pStyle w:val="71"/>
        <w:spacing w:before="120"/>
        <w:rPr>
          <w:b/>
        </w:rPr>
      </w:pPr>
      <w:bookmarkStart w:id="162" w:name="_Toc193189080"/>
      <w:bookmarkStart w:id="163" w:name="_Toc183542825"/>
      <w:bookmarkStart w:id="164" w:name="_Toc181892439"/>
      <w:bookmarkStart w:id="165" w:name="_Toc193268298"/>
      <w:bookmarkStart w:id="166" w:name="_Toc194589013"/>
      <w:bookmarkStart w:id="167" w:name="_Toc185097919"/>
      <w:r>
        <w:rPr>
          <w:rFonts w:hint="eastAsia"/>
        </w:rPr>
        <w:t>涉金属矿山风险评估和风险防控策略报告编制大纲</w:t>
      </w:r>
      <w:bookmarkEnd w:id="162"/>
      <w:bookmarkEnd w:id="163"/>
      <w:bookmarkEnd w:id="164"/>
      <w:bookmarkEnd w:id="165"/>
      <w:bookmarkEnd w:id="166"/>
      <w:bookmarkEnd w:id="167"/>
    </w:p>
    <w:bookmarkEnd w:id="160"/>
    <w:bookmarkEnd w:id="161"/>
    <w:p w14:paraId="599F2B91">
      <w:pPr>
        <w:pStyle w:val="72"/>
        <w:spacing w:before="312" w:after="312"/>
      </w:pPr>
      <w:bookmarkStart w:id="168" w:name="_Toc193268299"/>
      <w:bookmarkStart w:id="169" w:name="_Toc194589014"/>
      <w:bookmarkStart w:id="170" w:name="_Toc193189081"/>
      <w:r>
        <w:rPr>
          <w:rFonts w:hint="eastAsia"/>
        </w:rPr>
        <w:t>D.1概述（引言）</w:t>
      </w:r>
      <w:bookmarkEnd w:id="168"/>
      <w:bookmarkEnd w:id="169"/>
      <w:bookmarkEnd w:id="170"/>
    </w:p>
    <w:p w14:paraId="4A574A71">
      <w:pPr>
        <w:pStyle w:val="46"/>
        <w:spacing w:line="360" w:lineRule="auto"/>
      </w:pPr>
      <w:r>
        <w:rPr>
          <w:rFonts w:hint="eastAsia"/>
        </w:rPr>
        <w:t>a）工作背景；</w:t>
      </w:r>
    </w:p>
    <w:p w14:paraId="11CFB90E">
      <w:pPr>
        <w:pStyle w:val="46"/>
        <w:spacing w:line="360" w:lineRule="auto"/>
      </w:pPr>
      <w:r>
        <w:rPr>
          <w:rFonts w:hint="eastAsia"/>
        </w:rPr>
        <w:t>b）评估范围；</w:t>
      </w:r>
    </w:p>
    <w:p w14:paraId="68FB060E">
      <w:pPr>
        <w:pStyle w:val="46"/>
        <w:spacing w:line="360" w:lineRule="auto"/>
      </w:pPr>
      <w:r>
        <w:rPr>
          <w:rFonts w:hint="eastAsia"/>
        </w:rPr>
        <w:t>c）编制依据。</w:t>
      </w:r>
    </w:p>
    <w:p w14:paraId="01243B3B">
      <w:pPr>
        <w:pStyle w:val="72"/>
        <w:spacing w:before="312" w:after="312"/>
      </w:pPr>
      <w:bookmarkStart w:id="171" w:name="_Toc193189082"/>
      <w:bookmarkStart w:id="172" w:name="_Toc193268300"/>
      <w:bookmarkStart w:id="173" w:name="_Toc194589015"/>
      <w:r>
        <w:rPr>
          <w:rFonts w:hint="eastAsia"/>
        </w:rPr>
        <w:t>D.2 区域概况</w:t>
      </w:r>
      <w:bookmarkEnd w:id="171"/>
      <w:bookmarkEnd w:id="172"/>
      <w:bookmarkEnd w:id="173"/>
    </w:p>
    <w:p w14:paraId="6600E860">
      <w:pPr>
        <w:pStyle w:val="46"/>
        <w:spacing w:line="360" w:lineRule="auto"/>
      </w:pPr>
      <w:r>
        <w:rPr>
          <w:rFonts w:hint="eastAsia"/>
        </w:rPr>
        <w:t>a）地理位置与自然环境状况；</w:t>
      </w:r>
    </w:p>
    <w:p w14:paraId="4BDF8F94">
      <w:pPr>
        <w:pStyle w:val="46"/>
        <w:spacing w:line="360" w:lineRule="auto"/>
      </w:pPr>
      <w:r>
        <w:rPr>
          <w:rFonts w:hint="eastAsia"/>
        </w:rPr>
        <w:t>b）涉金属矿山历史开采与环境保护情况；</w:t>
      </w:r>
    </w:p>
    <w:p w14:paraId="5A940ADD">
      <w:pPr>
        <w:pStyle w:val="46"/>
        <w:spacing w:line="360" w:lineRule="auto"/>
      </w:pPr>
      <w:r>
        <w:rPr>
          <w:rFonts w:hint="eastAsia"/>
        </w:rPr>
        <w:t>c）环境污染状况。</w:t>
      </w:r>
    </w:p>
    <w:p w14:paraId="7C71A1EA">
      <w:pPr>
        <w:pStyle w:val="72"/>
        <w:spacing w:before="312" w:after="312"/>
      </w:pPr>
      <w:bookmarkStart w:id="174" w:name="_Toc193189083"/>
      <w:bookmarkStart w:id="175" w:name="_Toc194589016"/>
      <w:bookmarkStart w:id="176" w:name="_Toc193268301"/>
      <w:r>
        <w:rPr>
          <w:rFonts w:hint="eastAsia"/>
        </w:rPr>
        <w:t>D.3 工作准备</w:t>
      </w:r>
      <w:bookmarkEnd w:id="174"/>
      <w:bookmarkEnd w:id="175"/>
      <w:bookmarkEnd w:id="176"/>
    </w:p>
    <w:p w14:paraId="2E5D81D9">
      <w:pPr>
        <w:pStyle w:val="46"/>
        <w:spacing w:line="360" w:lineRule="auto"/>
      </w:pPr>
      <w:r>
        <w:rPr>
          <w:rFonts w:hint="eastAsia"/>
        </w:rPr>
        <w:t>a）资料准备；</w:t>
      </w:r>
    </w:p>
    <w:p w14:paraId="544B34C7">
      <w:pPr>
        <w:pStyle w:val="46"/>
        <w:spacing w:line="360" w:lineRule="auto"/>
      </w:pPr>
      <w:r>
        <w:rPr>
          <w:rFonts w:hint="eastAsia"/>
        </w:rPr>
        <w:t>b）划分污染风险单元。</w:t>
      </w:r>
    </w:p>
    <w:p w14:paraId="6434930D">
      <w:pPr>
        <w:pStyle w:val="72"/>
        <w:spacing w:before="312" w:after="312"/>
      </w:pPr>
      <w:bookmarkStart w:id="177" w:name="_Toc193189084"/>
      <w:bookmarkStart w:id="178" w:name="_Toc193268302"/>
      <w:bookmarkStart w:id="179" w:name="_Toc194589017"/>
      <w:r>
        <w:rPr>
          <w:rFonts w:hint="eastAsia"/>
        </w:rPr>
        <w:t>D.4 污染风险评估</w:t>
      </w:r>
      <w:bookmarkEnd w:id="177"/>
      <w:bookmarkEnd w:id="178"/>
      <w:bookmarkEnd w:id="179"/>
    </w:p>
    <w:p w14:paraId="4FFA54FB">
      <w:pPr>
        <w:pStyle w:val="46"/>
        <w:spacing w:line="360" w:lineRule="auto"/>
      </w:pPr>
      <w:r>
        <w:rPr>
          <w:rFonts w:hint="eastAsia"/>
        </w:rPr>
        <w:t>a）风险识别；</w:t>
      </w:r>
    </w:p>
    <w:p w14:paraId="519AF34E">
      <w:pPr>
        <w:pStyle w:val="46"/>
        <w:spacing w:line="360" w:lineRule="auto"/>
      </w:pPr>
      <w:r>
        <w:rPr>
          <w:rFonts w:hint="eastAsia"/>
        </w:rPr>
        <w:t>b）风险量化；</w:t>
      </w:r>
    </w:p>
    <w:p w14:paraId="4074D42C">
      <w:pPr>
        <w:pStyle w:val="46"/>
        <w:spacing w:line="360" w:lineRule="auto"/>
      </w:pPr>
      <w:r>
        <w:rPr>
          <w:rFonts w:hint="eastAsia"/>
        </w:rPr>
        <w:t>c）风险分级；</w:t>
      </w:r>
    </w:p>
    <w:p w14:paraId="5CFC77D8">
      <w:pPr>
        <w:pStyle w:val="46"/>
        <w:spacing w:line="360" w:lineRule="auto"/>
      </w:pPr>
      <w:r>
        <w:rPr>
          <w:rFonts w:hint="eastAsia"/>
        </w:rPr>
        <w:t>d）风险表达。</w:t>
      </w:r>
    </w:p>
    <w:p w14:paraId="5C8E8DD5">
      <w:pPr>
        <w:pStyle w:val="72"/>
        <w:spacing w:before="312" w:after="312"/>
      </w:pPr>
      <w:bookmarkStart w:id="180" w:name="_Toc194589018"/>
      <w:bookmarkStart w:id="181" w:name="_Toc193268303"/>
      <w:bookmarkStart w:id="182" w:name="_Toc193189085"/>
      <w:r>
        <w:rPr>
          <w:rFonts w:hint="eastAsia"/>
        </w:rPr>
        <w:t>D.5 污染风险防控策略建议</w:t>
      </w:r>
      <w:bookmarkEnd w:id="180"/>
      <w:bookmarkEnd w:id="181"/>
      <w:bookmarkEnd w:id="182"/>
    </w:p>
    <w:p w14:paraId="63E40196">
      <w:pPr>
        <w:pStyle w:val="46"/>
        <w:spacing w:line="360" w:lineRule="auto"/>
      </w:pPr>
      <w:r>
        <w:rPr>
          <w:rFonts w:hint="eastAsia"/>
        </w:rPr>
        <w:t>a）风险防控目标；</w:t>
      </w:r>
    </w:p>
    <w:p w14:paraId="3D1DD632">
      <w:pPr>
        <w:pStyle w:val="46"/>
        <w:spacing w:line="360" w:lineRule="auto"/>
      </w:pPr>
      <w:r>
        <w:rPr>
          <w:rFonts w:hint="eastAsia"/>
        </w:rPr>
        <w:t>b）污染防控策略和建议。</w:t>
      </w:r>
    </w:p>
    <w:p w14:paraId="10B9618C">
      <w:pPr>
        <w:pStyle w:val="104"/>
        <w:framePr w:wrap="around" w:hAnchor="page" w:x="4500" w:y="524"/>
        <w:rPr>
          <w:rFonts w:hint="eastAsia"/>
          <w:color w:val="000000"/>
        </w:rPr>
      </w:pPr>
      <w:r>
        <w:rPr>
          <w:color w:val="000000"/>
        </w:rPr>
        <w:t>_________________________________</w:t>
      </w:r>
    </w:p>
    <w:p w14:paraId="32DFE634">
      <w:pPr>
        <w:pStyle w:val="78"/>
        <w:ind w:left="0" w:leftChars="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宋体_x0006_硧.吀">
    <w:altName w:val="宋体"/>
    <w:panose1 w:val="00000000000000000000"/>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CAC7">
    <w:pPr>
      <w:pStyle w:val="15"/>
      <w:jc w:val="right"/>
      <w:rPr>
        <w:rFonts w:hint="eastAsia"/>
      </w:rPr>
    </w:pPr>
  </w:p>
  <w:p w14:paraId="3ABC1853">
    <w:pPr>
      <w:pStyle w:val="1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498B0">
    <w:pPr>
      <w:pStyle w:val="15"/>
      <w:rPr>
        <w:rFonts w:hint="eastAsia"/>
      </w:rPr>
    </w:pPr>
    <w:r>
      <w:fldChar w:fldCharType="begin"/>
    </w:r>
    <w:r>
      <w:instrText xml:space="preserve">PAGE   \* MERGEFORMAT</w:instrText>
    </w:r>
    <w:r>
      <w:fldChar w:fldCharType="separate"/>
    </w:r>
    <w:r>
      <w:rPr>
        <w:rFonts w:hint="eastAsia"/>
      </w:rPr>
      <w:t>I</w:t>
    </w:r>
    <w:r>
      <w:fldChar w:fldCharType="end"/>
    </w:r>
  </w:p>
  <w:p w14:paraId="6D12761F">
    <w:pPr>
      <w:pStyle w:val="15"/>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58DC3">
    <w:pPr>
      <w:pStyle w:val="15"/>
      <w:jc w:val="right"/>
      <w:rPr>
        <w:rFonts w:hint="eastAsia"/>
      </w:rPr>
    </w:pPr>
    <w:r>
      <w:fldChar w:fldCharType="begin"/>
    </w:r>
    <w:r>
      <w:instrText xml:space="preserve">PAGE   \* MERGEFORMAT</w:instrText>
    </w:r>
    <w:r>
      <w:fldChar w:fldCharType="separate"/>
    </w:r>
    <w:r>
      <w:rPr>
        <w:lang w:val="zh-CN"/>
      </w:rPr>
      <w:t>15</w:t>
    </w:r>
    <w:r>
      <w:fldChar w:fldCharType="end"/>
    </w:r>
  </w:p>
  <w:p w14:paraId="065C1E93">
    <w:pPr>
      <w:pStyle w:val="15"/>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86C51">
    <w:pPr>
      <w:pStyle w:val="15"/>
      <w:jc w:val="right"/>
      <w:rPr>
        <w:rFonts w:hint="eastAsia"/>
      </w:rPr>
    </w:pPr>
    <w:r>
      <w:fldChar w:fldCharType="begin"/>
    </w:r>
    <w:r>
      <w:instrText xml:space="preserve">PAGE   \* MERGEFORMAT</w:instrText>
    </w:r>
    <w:r>
      <w:fldChar w:fldCharType="separate"/>
    </w:r>
    <w:r>
      <w:rPr>
        <w:lang w:val="zh-CN"/>
      </w:rPr>
      <w:t>15</w:t>
    </w:r>
    <w:r>
      <w:fldChar w:fldCharType="end"/>
    </w:r>
  </w:p>
  <w:p w14:paraId="58100BEF">
    <w:pPr>
      <w:pStyle w:val="15"/>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E08B1">
    <w:pPr>
      <w:pStyle w:val="103"/>
      <w:spacing w:before="120" w:after="120"/>
    </w:pPr>
    <w:r>
      <w:t>DBXX/ TXXX—XXXX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95098">
    <w:pPr>
      <w:pStyle w:val="103"/>
      <w:spacing w:before="120" w:after="120"/>
    </w:pPr>
  </w:p>
  <w:p w14:paraId="7B25BBFE">
    <w:pPr>
      <w:pStyle w:val="103"/>
      <w:spacing w:before="120" w:after="120"/>
      <w:jc w:val="left"/>
    </w:pPr>
    <w:r>
      <w:t>DBXX/ TXXX—XXXX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00B4">
    <w:pPr>
      <w:pStyle w:val="103"/>
      <w:spacing w:before="120" w:after="120"/>
    </w:pPr>
  </w:p>
  <w:p w14:paraId="6574ADD7">
    <w:pPr>
      <w:pStyle w:val="103"/>
      <w:spacing w:before="120" w:after="120"/>
    </w:pPr>
    <w:r>
      <w:t>DBXX/ TXXX—XXXX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8B049C"/>
    <w:multiLevelType w:val="multilevel"/>
    <w:tmpl w:val="2C8B049C"/>
    <w:lvl w:ilvl="0" w:tentative="0">
      <w:start w:val="1"/>
      <w:numFmt w:val="decimal"/>
      <w:pStyle w:val="64"/>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46260FA"/>
    <w:multiLevelType w:val="multilevel"/>
    <w:tmpl w:val="646260FA"/>
    <w:lvl w:ilvl="0" w:tentative="0">
      <w:start w:val="1"/>
      <w:numFmt w:val="decimal"/>
      <w:pStyle w:val="6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172A27"/>
    <w:rsid w:val="00000178"/>
    <w:rsid w:val="0000547D"/>
    <w:rsid w:val="000078AF"/>
    <w:rsid w:val="00007EB0"/>
    <w:rsid w:val="00010F94"/>
    <w:rsid w:val="00011E1D"/>
    <w:rsid w:val="0001255B"/>
    <w:rsid w:val="000129AC"/>
    <w:rsid w:val="00012FEB"/>
    <w:rsid w:val="0001391A"/>
    <w:rsid w:val="00015C02"/>
    <w:rsid w:val="00016776"/>
    <w:rsid w:val="00016F40"/>
    <w:rsid w:val="000174E6"/>
    <w:rsid w:val="0002114A"/>
    <w:rsid w:val="00022D80"/>
    <w:rsid w:val="00023E46"/>
    <w:rsid w:val="00024930"/>
    <w:rsid w:val="000250A1"/>
    <w:rsid w:val="00027A7C"/>
    <w:rsid w:val="00027F32"/>
    <w:rsid w:val="00031EFE"/>
    <w:rsid w:val="000323E6"/>
    <w:rsid w:val="00032BF4"/>
    <w:rsid w:val="00032D76"/>
    <w:rsid w:val="00033B87"/>
    <w:rsid w:val="00034060"/>
    <w:rsid w:val="00035F6B"/>
    <w:rsid w:val="00036B4F"/>
    <w:rsid w:val="000408DE"/>
    <w:rsid w:val="000426E6"/>
    <w:rsid w:val="00043FCA"/>
    <w:rsid w:val="000449F1"/>
    <w:rsid w:val="00047A4C"/>
    <w:rsid w:val="00047BE5"/>
    <w:rsid w:val="0005065C"/>
    <w:rsid w:val="000507F4"/>
    <w:rsid w:val="000526D1"/>
    <w:rsid w:val="000544C5"/>
    <w:rsid w:val="00054F32"/>
    <w:rsid w:val="00055E58"/>
    <w:rsid w:val="00057ED8"/>
    <w:rsid w:val="00057EEE"/>
    <w:rsid w:val="00057FB4"/>
    <w:rsid w:val="00060D62"/>
    <w:rsid w:val="00061EC6"/>
    <w:rsid w:val="00063488"/>
    <w:rsid w:val="000645DF"/>
    <w:rsid w:val="000659B1"/>
    <w:rsid w:val="00066A24"/>
    <w:rsid w:val="00066E9C"/>
    <w:rsid w:val="00070592"/>
    <w:rsid w:val="000707A4"/>
    <w:rsid w:val="000726F4"/>
    <w:rsid w:val="000732F6"/>
    <w:rsid w:val="000737DD"/>
    <w:rsid w:val="00075B5E"/>
    <w:rsid w:val="00080127"/>
    <w:rsid w:val="000824E7"/>
    <w:rsid w:val="0008401D"/>
    <w:rsid w:val="0008414B"/>
    <w:rsid w:val="00084C38"/>
    <w:rsid w:val="000860F3"/>
    <w:rsid w:val="00086717"/>
    <w:rsid w:val="00086A5F"/>
    <w:rsid w:val="00086DE2"/>
    <w:rsid w:val="00087F7D"/>
    <w:rsid w:val="00090597"/>
    <w:rsid w:val="00090A83"/>
    <w:rsid w:val="00091253"/>
    <w:rsid w:val="000940CF"/>
    <w:rsid w:val="00094479"/>
    <w:rsid w:val="0009626C"/>
    <w:rsid w:val="000A01E4"/>
    <w:rsid w:val="000A186D"/>
    <w:rsid w:val="000A369B"/>
    <w:rsid w:val="000A48A7"/>
    <w:rsid w:val="000A4D52"/>
    <w:rsid w:val="000A50C1"/>
    <w:rsid w:val="000A5869"/>
    <w:rsid w:val="000A7650"/>
    <w:rsid w:val="000A7D92"/>
    <w:rsid w:val="000B18D8"/>
    <w:rsid w:val="000B26F2"/>
    <w:rsid w:val="000B281B"/>
    <w:rsid w:val="000B30D8"/>
    <w:rsid w:val="000B3329"/>
    <w:rsid w:val="000B35EE"/>
    <w:rsid w:val="000B5DE9"/>
    <w:rsid w:val="000B714E"/>
    <w:rsid w:val="000C18E7"/>
    <w:rsid w:val="000C2995"/>
    <w:rsid w:val="000C2AC0"/>
    <w:rsid w:val="000C3E75"/>
    <w:rsid w:val="000C466C"/>
    <w:rsid w:val="000D04DD"/>
    <w:rsid w:val="000D05F9"/>
    <w:rsid w:val="000D0CA7"/>
    <w:rsid w:val="000D1273"/>
    <w:rsid w:val="000D19C9"/>
    <w:rsid w:val="000D66C1"/>
    <w:rsid w:val="000D779F"/>
    <w:rsid w:val="000D7F64"/>
    <w:rsid w:val="000E1B93"/>
    <w:rsid w:val="000E3E43"/>
    <w:rsid w:val="000E3FAB"/>
    <w:rsid w:val="000E585C"/>
    <w:rsid w:val="000E6499"/>
    <w:rsid w:val="000E75D6"/>
    <w:rsid w:val="000F0498"/>
    <w:rsid w:val="000F3111"/>
    <w:rsid w:val="000F3149"/>
    <w:rsid w:val="000F354F"/>
    <w:rsid w:val="000F4584"/>
    <w:rsid w:val="000F4941"/>
    <w:rsid w:val="000F5E85"/>
    <w:rsid w:val="000F63F1"/>
    <w:rsid w:val="000F75F5"/>
    <w:rsid w:val="000F7E35"/>
    <w:rsid w:val="00101431"/>
    <w:rsid w:val="00101F25"/>
    <w:rsid w:val="001022CF"/>
    <w:rsid w:val="0010442A"/>
    <w:rsid w:val="001046FE"/>
    <w:rsid w:val="00104DEA"/>
    <w:rsid w:val="001054ED"/>
    <w:rsid w:val="00106119"/>
    <w:rsid w:val="0010694A"/>
    <w:rsid w:val="001074BA"/>
    <w:rsid w:val="001076A7"/>
    <w:rsid w:val="00110ED7"/>
    <w:rsid w:val="001121D8"/>
    <w:rsid w:val="001124C9"/>
    <w:rsid w:val="0011395B"/>
    <w:rsid w:val="0011453B"/>
    <w:rsid w:val="00114A09"/>
    <w:rsid w:val="00115195"/>
    <w:rsid w:val="00115AED"/>
    <w:rsid w:val="0011782C"/>
    <w:rsid w:val="0012058A"/>
    <w:rsid w:val="0012099A"/>
    <w:rsid w:val="001209A0"/>
    <w:rsid w:val="00121430"/>
    <w:rsid w:val="00122FD6"/>
    <w:rsid w:val="00123982"/>
    <w:rsid w:val="00124854"/>
    <w:rsid w:val="00125100"/>
    <w:rsid w:val="0012561A"/>
    <w:rsid w:val="00127553"/>
    <w:rsid w:val="00127C05"/>
    <w:rsid w:val="0013077F"/>
    <w:rsid w:val="0013126B"/>
    <w:rsid w:val="00131C68"/>
    <w:rsid w:val="001321C4"/>
    <w:rsid w:val="00132862"/>
    <w:rsid w:val="001351AE"/>
    <w:rsid w:val="00135423"/>
    <w:rsid w:val="00135D1F"/>
    <w:rsid w:val="00136173"/>
    <w:rsid w:val="00137187"/>
    <w:rsid w:val="001373F0"/>
    <w:rsid w:val="00137C0F"/>
    <w:rsid w:val="00141E14"/>
    <w:rsid w:val="00142A2E"/>
    <w:rsid w:val="00143095"/>
    <w:rsid w:val="00144727"/>
    <w:rsid w:val="001453B5"/>
    <w:rsid w:val="001518FD"/>
    <w:rsid w:val="00152197"/>
    <w:rsid w:val="00154127"/>
    <w:rsid w:val="00154A9B"/>
    <w:rsid w:val="0015517A"/>
    <w:rsid w:val="00156770"/>
    <w:rsid w:val="00156D87"/>
    <w:rsid w:val="001575E6"/>
    <w:rsid w:val="001576AD"/>
    <w:rsid w:val="0016020A"/>
    <w:rsid w:val="00160FA3"/>
    <w:rsid w:val="0016251A"/>
    <w:rsid w:val="00164B19"/>
    <w:rsid w:val="0016666C"/>
    <w:rsid w:val="00166A65"/>
    <w:rsid w:val="00166E25"/>
    <w:rsid w:val="001677FF"/>
    <w:rsid w:val="00167E75"/>
    <w:rsid w:val="00167E95"/>
    <w:rsid w:val="00170C09"/>
    <w:rsid w:val="00170F8C"/>
    <w:rsid w:val="00172A27"/>
    <w:rsid w:val="001732D5"/>
    <w:rsid w:val="00173E6B"/>
    <w:rsid w:val="00174333"/>
    <w:rsid w:val="001769C1"/>
    <w:rsid w:val="0018024C"/>
    <w:rsid w:val="001805EA"/>
    <w:rsid w:val="00180BAE"/>
    <w:rsid w:val="00180C21"/>
    <w:rsid w:val="00182EE4"/>
    <w:rsid w:val="0018523F"/>
    <w:rsid w:val="00185E1D"/>
    <w:rsid w:val="00186C30"/>
    <w:rsid w:val="00187723"/>
    <w:rsid w:val="001913C1"/>
    <w:rsid w:val="00192059"/>
    <w:rsid w:val="00192ED4"/>
    <w:rsid w:val="0019344C"/>
    <w:rsid w:val="001A1C53"/>
    <w:rsid w:val="001A27B9"/>
    <w:rsid w:val="001A2973"/>
    <w:rsid w:val="001A5267"/>
    <w:rsid w:val="001A57D6"/>
    <w:rsid w:val="001A79E9"/>
    <w:rsid w:val="001B0BE1"/>
    <w:rsid w:val="001B0C69"/>
    <w:rsid w:val="001B108B"/>
    <w:rsid w:val="001B1898"/>
    <w:rsid w:val="001B273E"/>
    <w:rsid w:val="001B35DE"/>
    <w:rsid w:val="001B4565"/>
    <w:rsid w:val="001B59BD"/>
    <w:rsid w:val="001B6484"/>
    <w:rsid w:val="001C0968"/>
    <w:rsid w:val="001C2415"/>
    <w:rsid w:val="001C4EC6"/>
    <w:rsid w:val="001C6FC8"/>
    <w:rsid w:val="001C7F6D"/>
    <w:rsid w:val="001D46CC"/>
    <w:rsid w:val="001D505C"/>
    <w:rsid w:val="001D5078"/>
    <w:rsid w:val="001D7AA8"/>
    <w:rsid w:val="001D7DD0"/>
    <w:rsid w:val="001E063A"/>
    <w:rsid w:val="001E38BF"/>
    <w:rsid w:val="001E5B20"/>
    <w:rsid w:val="001F0129"/>
    <w:rsid w:val="001F1441"/>
    <w:rsid w:val="001F1D78"/>
    <w:rsid w:val="001F2210"/>
    <w:rsid w:val="001F250E"/>
    <w:rsid w:val="001F345D"/>
    <w:rsid w:val="001F3B98"/>
    <w:rsid w:val="001F45B5"/>
    <w:rsid w:val="001F5D1B"/>
    <w:rsid w:val="001F61C8"/>
    <w:rsid w:val="001F6D3B"/>
    <w:rsid w:val="00200246"/>
    <w:rsid w:val="00200D6A"/>
    <w:rsid w:val="00201EC2"/>
    <w:rsid w:val="0020309E"/>
    <w:rsid w:val="002035C1"/>
    <w:rsid w:val="00204ED6"/>
    <w:rsid w:val="00204F94"/>
    <w:rsid w:val="00205DBE"/>
    <w:rsid w:val="0020656D"/>
    <w:rsid w:val="0020680F"/>
    <w:rsid w:val="00207115"/>
    <w:rsid w:val="0021063D"/>
    <w:rsid w:val="0021118A"/>
    <w:rsid w:val="00211DB1"/>
    <w:rsid w:val="00212EE8"/>
    <w:rsid w:val="00213D7C"/>
    <w:rsid w:val="00214E50"/>
    <w:rsid w:val="00215AFE"/>
    <w:rsid w:val="00215F0D"/>
    <w:rsid w:val="0021682B"/>
    <w:rsid w:val="002174A2"/>
    <w:rsid w:val="00220F36"/>
    <w:rsid w:val="002217CD"/>
    <w:rsid w:val="002238BD"/>
    <w:rsid w:val="00223ED1"/>
    <w:rsid w:val="0022469C"/>
    <w:rsid w:val="00224726"/>
    <w:rsid w:val="00230CF3"/>
    <w:rsid w:val="002317EF"/>
    <w:rsid w:val="00231804"/>
    <w:rsid w:val="00231B79"/>
    <w:rsid w:val="00231D86"/>
    <w:rsid w:val="00232122"/>
    <w:rsid w:val="002324EE"/>
    <w:rsid w:val="00233028"/>
    <w:rsid w:val="002337B8"/>
    <w:rsid w:val="0023493C"/>
    <w:rsid w:val="00236875"/>
    <w:rsid w:val="0023689E"/>
    <w:rsid w:val="00236D35"/>
    <w:rsid w:val="00236D64"/>
    <w:rsid w:val="00237D8A"/>
    <w:rsid w:val="002402CA"/>
    <w:rsid w:val="00241602"/>
    <w:rsid w:val="002424F8"/>
    <w:rsid w:val="00242F5A"/>
    <w:rsid w:val="00245DE9"/>
    <w:rsid w:val="0024680F"/>
    <w:rsid w:val="00246C48"/>
    <w:rsid w:val="00250D50"/>
    <w:rsid w:val="00250FCD"/>
    <w:rsid w:val="0025244B"/>
    <w:rsid w:val="00253E9C"/>
    <w:rsid w:val="002543D6"/>
    <w:rsid w:val="0025573B"/>
    <w:rsid w:val="002609C2"/>
    <w:rsid w:val="002610DF"/>
    <w:rsid w:val="002640E6"/>
    <w:rsid w:val="00264F50"/>
    <w:rsid w:val="00271DB0"/>
    <w:rsid w:val="00271DD2"/>
    <w:rsid w:val="00272333"/>
    <w:rsid w:val="00272CB8"/>
    <w:rsid w:val="002770BD"/>
    <w:rsid w:val="002778A6"/>
    <w:rsid w:val="00277F0F"/>
    <w:rsid w:val="0028085B"/>
    <w:rsid w:val="00280D54"/>
    <w:rsid w:val="00281AC7"/>
    <w:rsid w:val="002840E5"/>
    <w:rsid w:val="00284140"/>
    <w:rsid w:val="00284740"/>
    <w:rsid w:val="00284C1F"/>
    <w:rsid w:val="00285E52"/>
    <w:rsid w:val="002869A9"/>
    <w:rsid w:val="002869FB"/>
    <w:rsid w:val="0028728B"/>
    <w:rsid w:val="00287357"/>
    <w:rsid w:val="0029049A"/>
    <w:rsid w:val="00290F58"/>
    <w:rsid w:val="00292DD6"/>
    <w:rsid w:val="00294FCE"/>
    <w:rsid w:val="00295A8F"/>
    <w:rsid w:val="002A0DAD"/>
    <w:rsid w:val="002A3825"/>
    <w:rsid w:val="002A4832"/>
    <w:rsid w:val="002A561D"/>
    <w:rsid w:val="002A5BF3"/>
    <w:rsid w:val="002A7881"/>
    <w:rsid w:val="002B05F5"/>
    <w:rsid w:val="002B1BE1"/>
    <w:rsid w:val="002B1C77"/>
    <w:rsid w:val="002B1E75"/>
    <w:rsid w:val="002B27BB"/>
    <w:rsid w:val="002B3E5B"/>
    <w:rsid w:val="002B598A"/>
    <w:rsid w:val="002B71E9"/>
    <w:rsid w:val="002C0ECB"/>
    <w:rsid w:val="002C143C"/>
    <w:rsid w:val="002C1CBF"/>
    <w:rsid w:val="002C3771"/>
    <w:rsid w:val="002C5360"/>
    <w:rsid w:val="002C54F3"/>
    <w:rsid w:val="002C560D"/>
    <w:rsid w:val="002C5787"/>
    <w:rsid w:val="002D073C"/>
    <w:rsid w:val="002D11FD"/>
    <w:rsid w:val="002D2024"/>
    <w:rsid w:val="002D2E6A"/>
    <w:rsid w:val="002D306F"/>
    <w:rsid w:val="002D4E28"/>
    <w:rsid w:val="002D572C"/>
    <w:rsid w:val="002D65F2"/>
    <w:rsid w:val="002D6A63"/>
    <w:rsid w:val="002D6BA7"/>
    <w:rsid w:val="002D75A2"/>
    <w:rsid w:val="002D7B45"/>
    <w:rsid w:val="002E0541"/>
    <w:rsid w:val="002E0F83"/>
    <w:rsid w:val="002E7E64"/>
    <w:rsid w:val="002E7EF2"/>
    <w:rsid w:val="002F0CDB"/>
    <w:rsid w:val="002F0E90"/>
    <w:rsid w:val="002F0FFA"/>
    <w:rsid w:val="002F1259"/>
    <w:rsid w:val="002F204F"/>
    <w:rsid w:val="002F2591"/>
    <w:rsid w:val="002F4661"/>
    <w:rsid w:val="002F59AA"/>
    <w:rsid w:val="002F60DE"/>
    <w:rsid w:val="002F6CEE"/>
    <w:rsid w:val="00300436"/>
    <w:rsid w:val="0030099C"/>
    <w:rsid w:val="00300EE8"/>
    <w:rsid w:val="00300F69"/>
    <w:rsid w:val="003027EF"/>
    <w:rsid w:val="00302DFE"/>
    <w:rsid w:val="0030713D"/>
    <w:rsid w:val="0030757D"/>
    <w:rsid w:val="00310854"/>
    <w:rsid w:val="003109CE"/>
    <w:rsid w:val="00311C89"/>
    <w:rsid w:val="00311EC7"/>
    <w:rsid w:val="0031439F"/>
    <w:rsid w:val="003164C5"/>
    <w:rsid w:val="003204BC"/>
    <w:rsid w:val="003230B5"/>
    <w:rsid w:val="0032327D"/>
    <w:rsid w:val="0033233D"/>
    <w:rsid w:val="00332C93"/>
    <w:rsid w:val="00335C90"/>
    <w:rsid w:val="00336487"/>
    <w:rsid w:val="00336F4A"/>
    <w:rsid w:val="00340774"/>
    <w:rsid w:val="00341797"/>
    <w:rsid w:val="003429C9"/>
    <w:rsid w:val="00342EAE"/>
    <w:rsid w:val="003434C0"/>
    <w:rsid w:val="00343C57"/>
    <w:rsid w:val="0034486F"/>
    <w:rsid w:val="0034535A"/>
    <w:rsid w:val="00350540"/>
    <w:rsid w:val="00350BA9"/>
    <w:rsid w:val="00351A89"/>
    <w:rsid w:val="00351E57"/>
    <w:rsid w:val="00352772"/>
    <w:rsid w:val="00352A1A"/>
    <w:rsid w:val="00352D61"/>
    <w:rsid w:val="00353B84"/>
    <w:rsid w:val="00354F27"/>
    <w:rsid w:val="0035553C"/>
    <w:rsid w:val="003559E3"/>
    <w:rsid w:val="00357001"/>
    <w:rsid w:val="00357070"/>
    <w:rsid w:val="0036013A"/>
    <w:rsid w:val="0036032E"/>
    <w:rsid w:val="00360FE7"/>
    <w:rsid w:val="00361066"/>
    <w:rsid w:val="0036267A"/>
    <w:rsid w:val="003640D0"/>
    <w:rsid w:val="00364484"/>
    <w:rsid w:val="00364E75"/>
    <w:rsid w:val="00365900"/>
    <w:rsid w:val="0036651C"/>
    <w:rsid w:val="0036732C"/>
    <w:rsid w:val="003674E3"/>
    <w:rsid w:val="00367626"/>
    <w:rsid w:val="00367C51"/>
    <w:rsid w:val="00370049"/>
    <w:rsid w:val="00374BBA"/>
    <w:rsid w:val="00376750"/>
    <w:rsid w:val="0037757D"/>
    <w:rsid w:val="0038035E"/>
    <w:rsid w:val="00380FFF"/>
    <w:rsid w:val="003811B7"/>
    <w:rsid w:val="00382E02"/>
    <w:rsid w:val="00383B61"/>
    <w:rsid w:val="00385107"/>
    <w:rsid w:val="003869B1"/>
    <w:rsid w:val="00386E7F"/>
    <w:rsid w:val="003877F4"/>
    <w:rsid w:val="003911A7"/>
    <w:rsid w:val="00392870"/>
    <w:rsid w:val="003943D2"/>
    <w:rsid w:val="003953D5"/>
    <w:rsid w:val="0039553A"/>
    <w:rsid w:val="003957CC"/>
    <w:rsid w:val="00397A6F"/>
    <w:rsid w:val="003A05CF"/>
    <w:rsid w:val="003A189E"/>
    <w:rsid w:val="003A24FC"/>
    <w:rsid w:val="003A313B"/>
    <w:rsid w:val="003A4F85"/>
    <w:rsid w:val="003A6719"/>
    <w:rsid w:val="003A738E"/>
    <w:rsid w:val="003B0F89"/>
    <w:rsid w:val="003B245B"/>
    <w:rsid w:val="003B3119"/>
    <w:rsid w:val="003B438F"/>
    <w:rsid w:val="003B54D6"/>
    <w:rsid w:val="003B5C5F"/>
    <w:rsid w:val="003B6B5B"/>
    <w:rsid w:val="003C28C6"/>
    <w:rsid w:val="003C7F61"/>
    <w:rsid w:val="003D4425"/>
    <w:rsid w:val="003D4CE4"/>
    <w:rsid w:val="003D5FCF"/>
    <w:rsid w:val="003D6B7D"/>
    <w:rsid w:val="003D71F4"/>
    <w:rsid w:val="003D7599"/>
    <w:rsid w:val="003D7820"/>
    <w:rsid w:val="003E0124"/>
    <w:rsid w:val="003E0486"/>
    <w:rsid w:val="003E18FF"/>
    <w:rsid w:val="003E1E2D"/>
    <w:rsid w:val="003E3786"/>
    <w:rsid w:val="003E5833"/>
    <w:rsid w:val="003F08C7"/>
    <w:rsid w:val="003F1901"/>
    <w:rsid w:val="003F3E98"/>
    <w:rsid w:val="003F3F47"/>
    <w:rsid w:val="003F49AB"/>
    <w:rsid w:val="003F5DF0"/>
    <w:rsid w:val="003F7088"/>
    <w:rsid w:val="004005C3"/>
    <w:rsid w:val="00400933"/>
    <w:rsid w:val="0040174A"/>
    <w:rsid w:val="00402067"/>
    <w:rsid w:val="0040421E"/>
    <w:rsid w:val="00404825"/>
    <w:rsid w:val="00405D6F"/>
    <w:rsid w:val="004069C5"/>
    <w:rsid w:val="00407B2C"/>
    <w:rsid w:val="00407D6A"/>
    <w:rsid w:val="0041047B"/>
    <w:rsid w:val="00411691"/>
    <w:rsid w:val="00412886"/>
    <w:rsid w:val="004138FB"/>
    <w:rsid w:val="00413C5E"/>
    <w:rsid w:val="004142A5"/>
    <w:rsid w:val="00414798"/>
    <w:rsid w:val="0041536E"/>
    <w:rsid w:val="00416791"/>
    <w:rsid w:val="00421ABC"/>
    <w:rsid w:val="00423024"/>
    <w:rsid w:val="004237B5"/>
    <w:rsid w:val="00423FA4"/>
    <w:rsid w:val="004244E5"/>
    <w:rsid w:val="0042487B"/>
    <w:rsid w:val="00424FC5"/>
    <w:rsid w:val="00425D60"/>
    <w:rsid w:val="00425F3B"/>
    <w:rsid w:val="00430DF8"/>
    <w:rsid w:val="00430F5D"/>
    <w:rsid w:val="00430F71"/>
    <w:rsid w:val="00431D9C"/>
    <w:rsid w:val="00433000"/>
    <w:rsid w:val="0043371D"/>
    <w:rsid w:val="004347AA"/>
    <w:rsid w:val="00436769"/>
    <w:rsid w:val="00436A3F"/>
    <w:rsid w:val="00441572"/>
    <w:rsid w:val="00441F92"/>
    <w:rsid w:val="0044200E"/>
    <w:rsid w:val="00442979"/>
    <w:rsid w:val="004430F7"/>
    <w:rsid w:val="00443540"/>
    <w:rsid w:val="00444014"/>
    <w:rsid w:val="00445C76"/>
    <w:rsid w:val="004467B5"/>
    <w:rsid w:val="004472E9"/>
    <w:rsid w:val="004521F6"/>
    <w:rsid w:val="004533EB"/>
    <w:rsid w:val="00453442"/>
    <w:rsid w:val="004536A6"/>
    <w:rsid w:val="0045448D"/>
    <w:rsid w:val="00457595"/>
    <w:rsid w:val="00457AF6"/>
    <w:rsid w:val="00463E54"/>
    <w:rsid w:val="004645A2"/>
    <w:rsid w:val="00467EB7"/>
    <w:rsid w:val="00471B81"/>
    <w:rsid w:val="004728A1"/>
    <w:rsid w:val="00472E0B"/>
    <w:rsid w:val="00477A9A"/>
    <w:rsid w:val="00477D6F"/>
    <w:rsid w:val="004819A7"/>
    <w:rsid w:val="00481B0D"/>
    <w:rsid w:val="00482773"/>
    <w:rsid w:val="004832EA"/>
    <w:rsid w:val="00483662"/>
    <w:rsid w:val="004900C8"/>
    <w:rsid w:val="004916DF"/>
    <w:rsid w:val="00491FD7"/>
    <w:rsid w:val="00493122"/>
    <w:rsid w:val="00493449"/>
    <w:rsid w:val="0049404D"/>
    <w:rsid w:val="004A0E52"/>
    <w:rsid w:val="004A1FBF"/>
    <w:rsid w:val="004A2B22"/>
    <w:rsid w:val="004A2DD1"/>
    <w:rsid w:val="004A30E7"/>
    <w:rsid w:val="004A3E8A"/>
    <w:rsid w:val="004A45AC"/>
    <w:rsid w:val="004A6366"/>
    <w:rsid w:val="004B10F8"/>
    <w:rsid w:val="004B2232"/>
    <w:rsid w:val="004B7090"/>
    <w:rsid w:val="004B7F9D"/>
    <w:rsid w:val="004C11D4"/>
    <w:rsid w:val="004C2264"/>
    <w:rsid w:val="004C47D5"/>
    <w:rsid w:val="004C7495"/>
    <w:rsid w:val="004D1A39"/>
    <w:rsid w:val="004D4A57"/>
    <w:rsid w:val="004D4B7B"/>
    <w:rsid w:val="004D7152"/>
    <w:rsid w:val="004D7B09"/>
    <w:rsid w:val="004E1522"/>
    <w:rsid w:val="004E18DD"/>
    <w:rsid w:val="004E3890"/>
    <w:rsid w:val="004E3C94"/>
    <w:rsid w:val="004E584F"/>
    <w:rsid w:val="004E601F"/>
    <w:rsid w:val="004F16C5"/>
    <w:rsid w:val="004F237A"/>
    <w:rsid w:val="004F29D3"/>
    <w:rsid w:val="004F4387"/>
    <w:rsid w:val="004F51F1"/>
    <w:rsid w:val="004F7B91"/>
    <w:rsid w:val="00502942"/>
    <w:rsid w:val="00504375"/>
    <w:rsid w:val="0051090A"/>
    <w:rsid w:val="00510B78"/>
    <w:rsid w:val="00511A24"/>
    <w:rsid w:val="00511FD7"/>
    <w:rsid w:val="0051210A"/>
    <w:rsid w:val="005165EE"/>
    <w:rsid w:val="00517FD4"/>
    <w:rsid w:val="00521C4B"/>
    <w:rsid w:val="005240E7"/>
    <w:rsid w:val="00524188"/>
    <w:rsid w:val="00526C5F"/>
    <w:rsid w:val="00527AE9"/>
    <w:rsid w:val="005301D9"/>
    <w:rsid w:val="00534172"/>
    <w:rsid w:val="0053511F"/>
    <w:rsid w:val="00536216"/>
    <w:rsid w:val="00537309"/>
    <w:rsid w:val="0053772B"/>
    <w:rsid w:val="00540F89"/>
    <w:rsid w:val="00541015"/>
    <w:rsid w:val="00541782"/>
    <w:rsid w:val="00541B4D"/>
    <w:rsid w:val="00541B54"/>
    <w:rsid w:val="00541F57"/>
    <w:rsid w:val="00542926"/>
    <w:rsid w:val="00544264"/>
    <w:rsid w:val="00544BA4"/>
    <w:rsid w:val="00544EF5"/>
    <w:rsid w:val="00545117"/>
    <w:rsid w:val="005459A9"/>
    <w:rsid w:val="0054613F"/>
    <w:rsid w:val="005503FE"/>
    <w:rsid w:val="00550E52"/>
    <w:rsid w:val="0055434E"/>
    <w:rsid w:val="005545A1"/>
    <w:rsid w:val="00560143"/>
    <w:rsid w:val="0056088A"/>
    <w:rsid w:val="00560990"/>
    <w:rsid w:val="0056227D"/>
    <w:rsid w:val="00562EDA"/>
    <w:rsid w:val="00564347"/>
    <w:rsid w:val="00566172"/>
    <w:rsid w:val="00566E27"/>
    <w:rsid w:val="005707B8"/>
    <w:rsid w:val="00570D7B"/>
    <w:rsid w:val="00574AD3"/>
    <w:rsid w:val="00575A76"/>
    <w:rsid w:val="00575D87"/>
    <w:rsid w:val="00576AA7"/>
    <w:rsid w:val="00576E39"/>
    <w:rsid w:val="005773C5"/>
    <w:rsid w:val="005801D5"/>
    <w:rsid w:val="00582055"/>
    <w:rsid w:val="00582871"/>
    <w:rsid w:val="005850AE"/>
    <w:rsid w:val="00586324"/>
    <w:rsid w:val="00587FB1"/>
    <w:rsid w:val="005905C7"/>
    <w:rsid w:val="00591779"/>
    <w:rsid w:val="005919C4"/>
    <w:rsid w:val="005923B1"/>
    <w:rsid w:val="00592F78"/>
    <w:rsid w:val="0059324B"/>
    <w:rsid w:val="00593AE7"/>
    <w:rsid w:val="00593BF6"/>
    <w:rsid w:val="00594CEA"/>
    <w:rsid w:val="005959CA"/>
    <w:rsid w:val="005A0549"/>
    <w:rsid w:val="005A0664"/>
    <w:rsid w:val="005A1C46"/>
    <w:rsid w:val="005A3309"/>
    <w:rsid w:val="005A707F"/>
    <w:rsid w:val="005A76C1"/>
    <w:rsid w:val="005B0392"/>
    <w:rsid w:val="005B1571"/>
    <w:rsid w:val="005B205E"/>
    <w:rsid w:val="005B28D2"/>
    <w:rsid w:val="005B2B7B"/>
    <w:rsid w:val="005B4471"/>
    <w:rsid w:val="005B6703"/>
    <w:rsid w:val="005B726F"/>
    <w:rsid w:val="005C09DE"/>
    <w:rsid w:val="005C2086"/>
    <w:rsid w:val="005C3072"/>
    <w:rsid w:val="005C32CE"/>
    <w:rsid w:val="005C4CA8"/>
    <w:rsid w:val="005C6264"/>
    <w:rsid w:val="005C6D7E"/>
    <w:rsid w:val="005D2558"/>
    <w:rsid w:val="005D4336"/>
    <w:rsid w:val="005D4994"/>
    <w:rsid w:val="005D556C"/>
    <w:rsid w:val="005D6884"/>
    <w:rsid w:val="005D76FE"/>
    <w:rsid w:val="005E1265"/>
    <w:rsid w:val="005E1C8F"/>
    <w:rsid w:val="005E2B35"/>
    <w:rsid w:val="005E4362"/>
    <w:rsid w:val="005E512F"/>
    <w:rsid w:val="005E5748"/>
    <w:rsid w:val="005E5F77"/>
    <w:rsid w:val="005F0D34"/>
    <w:rsid w:val="005F2A3D"/>
    <w:rsid w:val="005F2FB0"/>
    <w:rsid w:val="005F4201"/>
    <w:rsid w:val="005F472F"/>
    <w:rsid w:val="005F5A45"/>
    <w:rsid w:val="005F5CF6"/>
    <w:rsid w:val="005F6597"/>
    <w:rsid w:val="005F6AA4"/>
    <w:rsid w:val="005F6ED0"/>
    <w:rsid w:val="00600022"/>
    <w:rsid w:val="00600155"/>
    <w:rsid w:val="00603DCA"/>
    <w:rsid w:val="00605B42"/>
    <w:rsid w:val="00605E79"/>
    <w:rsid w:val="00607B85"/>
    <w:rsid w:val="00607E07"/>
    <w:rsid w:val="00611353"/>
    <w:rsid w:val="00617EFE"/>
    <w:rsid w:val="006200D3"/>
    <w:rsid w:val="00620CE3"/>
    <w:rsid w:val="0062289A"/>
    <w:rsid w:val="00622BAA"/>
    <w:rsid w:val="0062379E"/>
    <w:rsid w:val="006240B8"/>
    <w:rsid w:val="006256A9"/>
    <w:rsid w:val="00625D0F"/>
    <w:rsid w:val="00625F09"/>
    <w:rsid w:val="0062749B"/>
    <w:rsid w:val="006312BD"/>
    <w:rsid w:val="006317B0"/>
    <w:rsid w:val="0063185B"/>
    <w:rsid w:val="00633228"/>
    <w:rsid w:val="00633397"/>
    <w:rsid w:val="0063430C"/>
    <w:rsid w:val="00634ACD"/>
    <w:rsid w:val="0063627F"/>
    <w:rsid w:val="006413D5"/>
    <w:rsid w:val="00641F4C"/>
    <w:rsid w:val="0064219C"/>
    <w:rsid w:val="00642C1F"/>
    <w:rsid w:val="00644201"/>
    <w:rsid w:val="0064490C"/>
    <w:rsid w:val="0064635C"/>
    <w:rsid w:val="00651472"/>
    <w:rsid w:val="006519F6"/>
    <w:rsid w:val="00652FFE"/>
    <w:rsid w:val="00653423"/>
    <w:rsid w:val="006539AB"/>
    <w:rsid w:val="0065548B"/>
    <w:rsid w:val="006567CA"/>
    <w:rsid w:val="006576E9"/>
    <w:rsid w:val="006601F4"/>
    <w:rsid w:val="00660951"/>
    <w:rsid w:val="00660BAB"/>
    <w:rsid w:val="00661F36"/>
    <w:rsid w:val="00664993"/>
    <w:rsid w:val="00672876"/>
    <w:rsid w:val="00672F55"/>
    <w:rsid w:val="006755CE"/>
    <w:rsid w:val="00675B9F"/>
    <w:rsid w:val="00676503"/>
    <w:rsid w:val="00677EA6"/>
    <w:rsid w:val="006808DA"/>
    <w:rsid w:val="0068169C"/>
    <w:rsid w:val="0068320A"/>
    <w:rsid w:val="00684741"/>
    <w:rsid w:val="006848B0"/>
    <w:rsid w:val="006848B5"/>
    <w:rsid w:val="00685D4F"/>
    <w:rsid w:val="00691AC2"/>
    <w:rsid w:val="00692976"/>
    <w:rsid w:val="00694B92"/>
    <w:rsid w:val="00697B73"/>
    <w:rsid w:val="006A064F"/>
    <w:rsid w:val="006A2BFF"/>
    <w:rsid w:val="006A335D"/>
    <w:rsid w:val="006A348E"/>
    <w:rsid w:val="006A3735"/>
    <w:rsid w:val="006A3781"/>
    <w:rsid w:val="006A3E15"/>
    <w:rsid w:val="006A70C7"/>
    <w:rsid w:val="006B0CBA"/>
    <w:rsid w:val="006B14F9"/>
    <w:rsid w:val="006B15B7"/>
    <w:rsid w:val="006B21AB"/>
    <w:rsid w:val="006B2F02"/>
    <w:rsid w:val="006B62C6"/>
    <w:rsid w:val="006B6358"/>
    <w:rsid w:val="006B739F"/>
    <w:rsid w:val="006B7DA2"/>
    <w:rsid w:val="006C2FF0"/>
    <w:rsid w:val="006C35A2"/>
    <w:rsid w:val="006C38CF"/>
    <w:rsid w:val="006C3FD6"/>
    <w:rsid w:val="006C5381"/>
    <w:rsid w:val="006C65D3"/>
    <w:rsid w:val="006D08DD"/>
    <w:rsid w:val="006D2069"/>
    <w:rsid w:val="006D28E0"/>
    <w:rsid w:val="006D33E2"/>
    <w:rsid w:val="006D3596"/>
    <w:rsid w:val="006D4814"/>
    <w:rsid w:val="006D5E57"/>
    <w:rsid w:val="006D78EF"/>
    <w:rsid w:val="006D7FDE"/>
    <w:rsid w:val="006E0EFC"/>
    <w:rsid w:val="006E3217"/>
    <w:rsid w:val="006E624C"/>
    <w:rsid w:val="006E6D37"/>
    <w:rsid w:val="006E7E23"/>
    <w:rsid w:val="006F0C6A"/>
    <w:rsid w:val="006F14AE"/>
    <w:rsid w:val="006F2866"/>
    <w:rsid w:val="006F3737"/>
    <w:rsid w:val="006F3907"/>
    <w:rsid w:val="006F3BB6"/>
    <w:rsid w:val="006F59B2"/>
    <w:rsid w:val="006F5E88"/>
    <w:rsid w:val="00701B46"/>
    <w:rsid w:val="0070210B"/>
    <w:rsid w:val="00702341"/>
    <w:rsid w:val="00702351"/>
    <w:rsid w:val="0070240D"/>
    <w:rsid w:val="00703482"/>
    <w:rsid w:val="0070379D"/>
    <w:rsid w:val="007040E4"/>
    <w:rsid w:val="00705BC4"/>
    <w:rsid w:val="007062DA"/>
    <w:rsid w:val="0070633F"/>
    <w:rsid w:val="007072D9"/>
    <w:rsid w:val="00710098"/>
    <w:rsid w:val="007103A0"/>
    <w:rsid w:val="00715091"/>
    <w:rsid w:val="00716416"/>
    <w:rsid w:val="007167E3"/>
    <w:rsid w:val="00717773"/>
    <w:rsid w:val="007202C0"/>
    <w:rsid w:val="00720C41"/>
    <w:rsid w:val="00722108"/>
    <w:rsid w:val="0072420F"/>
    <w:rsid w:val="007256C6"/>
    <w:rsid w:val="00726C36"/>
    <w:rsid w:val="00726FED"/>
    <w:rsid w:val="007306A2"/>
    <w:rsid w:val="00732FD6"/>
    <w:rsid w:val="00734ADE"/>
    <w:rsid w:val="007355A3"/>
    <w:rsid w:val="007363EA"/>
    <w:rsid w:val="00736CD1"/>
    <w:rsid w:val="00740C97"/>
    <w:rsid w:val="00741E6D"/>
    <w:rsid w:val="00742761"/>
    <w:rsid w:val="00744BA8"/>
    <w:rsid w:val="00745D8A"/>
    <w:rsid w:val="00746535"/>
    <w:rsid w:val="00746863"/>
    <w:rsid w:val="0074777E"/>
    <w:rsid w:val="007503E7"/>
    <w:rsid w:val="0075242F"/>
    <w:rsid w:val="00753DC7"/>
    <w:rsid w:val="007560BD"/>
    <w:rsid w:val="007561AB"/>
    <w:rsid w:val="00756875"/>
    <w:rsid w:val="007573BF"/>
    <w:rsid w:val="00757E52"/>
    <w:rsid w:val="007616E4"/>
    <w:rsid w:val="0076491A"/>
    <w:rsid w:val="00766A68"/>
    <w:rsid w:val="00766BC7"/>
    <w:rsid w:val="007672A4"/>
    <w:rsid w:val="00767339"/>
    <w:rsid w:val="00767637"/>
    <w:rsid w:val="00767DF7"/>
    <w:rsid w:val="00770F0A"/>
    <w:rsid w:val="007726C9"/>
    <w:rsid w:val="0077273D"/>
    <w:rsid w:val="00773079"/>
    <w:rsid w:val="00773F64"/>
    <w:rsid w:val="0077404E"/>
    <w:rsid w:val="0077407C"/>
    <w:rsid w:val="00774313"/>
    <w:rsid w:val="00774FE4"/>
    <w:rsid w:val="00775B43"/>
    <w:rsid w:val="00775DD8"/>
    <w:rsid w:val="00777AF2"/>
    <w:rsid w:val="00780C7B"/>
    <w:rsid w:val="007811DE"/>
    <w:rsid w:val="00782CD2"/>
    <w:rsid w:val="00783988"/>
    <w:rsid w:val="007839F8"/>
    <w:rsid w:val="00784D81"/>
    <w:rsid w:val="007856BC"/>
    <w:rsid w:val="00785CA4"/>
    <w:rsid w:val="00792062"/>
    <w:rsid w:val="00792E90"/>
    <w:rsid w:val="007934A8"/>
    <w:rsid w:val="007935F4"/>
    <w:rsid w:val="00793A72"/>
    <w:rsid w:val="00793D84"/>
    <w:rsid w:val="00794600"/>
    <w:rsid w:val="00796045"/>
    <w:rsid w:val="007A2D99"/>
    <w:rsid w:val="007A74EE"/>
    <w:rsid w:val="007A7779"/>
    <w:rsid w:val="007B26A6"/>
    <w:rsid w:val="007B34DD"/>
    <w:rsid w:val="007B35ED"/>
    <w:rsid w:val="007B53AC"/>
    <w:rsid w:val="007B5C2E"/>
    <w:rsid w:val="007B68FB"/>
    <w:rsid w:val="007B6BD2"/>
    <w:rsid w:val="007B710E"/>
    <w:rsid w:val="007B7AB8"/>
    <w:rsid w:val="007C1B7A"/>
    <w:rsid w:val="007C3492"/>
    <w:rsid w:val="007C50D4"/>
    <w:rsid w:val="007C6BFA"/>
    <w:rsid w:val="007D0AB6"/>
    <w:rsid w:val="007D0C97"/>
    <w:rsid w:val="007D1575"/>
    <w:rsid w:val="007D2837"/>
    <w:rsid w:val="007D2FA4"/>
    <w:rsid w:val="007D3238"/>
    <w:rsid w:val="007D4B5D"/>
    <w:rsid w:val="007D50E8"/>
    <w:rsid w:val="007D6678"/>
    <w:rsid w:val="007D686B"/>
    <w:rsid w:val="007D73A5"/>
    <w:rsid w:val="007E0A2F"/>
    <w:rsid w:val="007E3314"/>
    <w:rsid w:val="007E4AC6"/>
    <w:rsid w:val="007E6B41"/>
    <w:rsid w:val="007E75EF"/>
    <w:rsid w:val="007E77A1"/>
    <w:rsid w:val="007E78FE"/>
    <w:rsid w:val="007F0263"/>
    <w:rsid w:val="007F0A95"/>
    <w:rsid w:val="007F1E53"/>
    <w:rsid w:val="007F289F"/>
    <w:rsid w:val="007F2BB9"/>
    <w:rsid w:val="007F390B"/>
    <w:rsid w:val="007F48E4"/>
    <w:rsid w:val="007F4D30"/>
    <w:rsid w:val="007F4D40"/>
    <w:rsid w:val="007F5109"/>
    <w:rsid w:val="007F5638"/>
    <w:rsid w:val="0080126C"/>
    <w:rsid w:val="008044E4"/>
    <w:rsid w:val="00805356"/>
    <w:rsid w:val="008056CF"/>
    <w:rsid w:val="00805E11"/>
    <w:rsid w:val="00805F4F"/>
    <w:rsid w:val="00807C80"/>
    <w:rsid w:val="0081018E"/>
    <w:rsid w:val="008148BE"/>
    <w:rsid w:val="00815BBE"/>
    <w:rsid w:val="00816D2F"/>
    <w:rsid w:val="00817034"/>
    <w:rsid w:val="0082379B"/>
    <w:rsid w:val="00825062"/>
    <w:rsid w:val="0082584C"/>
    <w:rsid w:val="0082609E"/>
    <w:rsid w:val="00826105"/>
    <w:rsid w:val="008265ED"/>
    <w:rsid w:val="00826625"/>
    <w:rsid w:val="00827168"/>
    <w:rsid w:val="00830D8A"/>
    <w:rsid w:val="00831765"/>
    <w:rsid w:val="008324A8"/>
    <w:rsid w:val="008325AD"/>
    <w:rsid w:val="0083359B"/>
    <w:rsid w:val="008336B8"/>
    <w:rsid w:val="00833718"/>
    <w:rsid w:val="0083392A"/>
    <w:rsid w:val="008348E0"/>
    <w:rsid w:val="0083493E"/>
    <w:rsid w:val="00834D21"/>
    <w:rsid w:val="00837336"/>
    <w:rsid w:val="00841DA2"/>
    <w:rsid w:val="00842333"/>
    <w:rsid w:val="00842519"/>
    <w:rsid w:val="0084356E"/>
    <w:rsid w:val="00846B52"/>
    <w:rsid w:val="00847FA6"/>
    <w:rsid w:val="00850C42"/>
    <w:rsid w:val="00851FC1"/>
    <w:rsid w:val="0085281C"/>
    <w:rsid w:val="008528B4"/>
    <w:rsid w:val="008547DC"/>
    <w:rsid w:val="008560C6"/>
    <w:rsid w:val="00856B58"/>
    <w:rsid w:val="0085709B"/>
    <w:rsid w:val="008576E1"/>
    <w:rsid w:val="00860320"/>
    <w:rsid w:val="00860F78"/>
    <w:rsid w:val="00861514"/>
    <w:rsid w:val="00862489"/>
    <w:rsid w:val="00862590"/>
    <w:rsid w:val="00862822"/>
    <w:rsid w:val="00863F30"/>
    <w:rsid w:val="00864B51"/>
    <w:rsid w:val="008661B1"/>
    <w:rsid w:val="008712E7"/>
    <w:rsid w:val="00872C35"/>
    <w:rsid w:val="00875B8B"/>
    <w:rsid w:val="008772F5"/>
    <w:rsid w:val="00880ED0"/>
    <w:rsid w:val="008817E6"/>
    <w:rsid w:val="00882D6E"/>
    <w:rsid w:val="0088497D"/>
    <w:rsid w:val="008865BB"/>
    <w:rsid w:val="00886A55"/>
    <w:rsid w:val="00890E8C"/>
    <w:rsid w:val="00892A00"/>
    <w:rsid w:val="00892A38"/>
    <w:rsid w:val="00892D6D"/>
    <w:rsid w:val="00893501"/>
    <w:rsid w:val="00896228"/>
    <w:rsid w:val="00896F0B"/>
    <w:rsid w:val="008974FC"/>
    <w:rsid w:val="008A012D"/>
    <w:rsid w:val="008A0D0E"/>
    <w:rsid w:val="008A1EF9"/>
    <w:rsid w:val="008A3028"/>
    <w:rsid w:val="008A508F"/>
    <w:rsid w:val="008A5F98"/>
    <w:rsid w:val="008A62DF"/>
    <w:rsid w:val="008B2935"/>
    <w:rsid w:val="008B293A"/>
    <w:rsid w:val="008B314E"/>
    <w:rsid w:val="008B4D8B"/>
    <w:rsid w:val="008B5594"/>
    <w:rsid w:val="008B712C"/>
    <w:rsid w:val="008B77B8"/>
    <w:rsid w:val="008C446B"/>
    <w:rsid w:val="008C5BC0"/>
    <w:rsid w:val="008C6229"/>
    <w:rsid w:val="008C6FF0"/>
    <w:rsid w:val="008D02F5"/>
    <w:rsid w:val="008D2E0F"/>
    <w:rsid w:val="008D5AEB"/>
    <w:rsid w:val="008D5DC7"/>
    <w:rsid w:val="008D6608"/>
    <w:rsid w:val="008E0028"/>
    <w:rsid w:val="008E0B1D"/>
    <w:rsid w:val="008E0BE4"/>
    <w:rsid w:val="008E1945"/>
    <w:rsid w:val="008E1A45"/>
    <w:rsid w:val="008E1ADB"/>
    <w:rsid w:val="008E2A5F"/>
    <w:rsid w:val="008E4DC0"/>
    <w:rsid w:val="008E63E5"/>
    <w:rsid w:val="008E754D"/>
    <w:rsid w:val="008E7D88"/>
    <w:rsid w:val="008F1733"/>
    <w:rsid w:val="008F18E6"/>
    <w:rsid w:val="008F2801"/>
    <w:rsid w:val="008F583A"/>
    <w:rsid w:val="00900FE0"/>
    <w:rsid w:val="00901250"/>
    <w:rsid w:val="0090139A"/>
    <w:rsid w:val="00903D49"/>
    <w:rsid w:val="00904669"/>
    <w:rsid w:val="009047C8"/>
    <w:rsid w:val="00906E71"/>
    <w:rsid w:val="0090769D"/>
    <w:rsid w:val="009119C1"/>
    <w:rsid w:val="00911EB6"/>
    <w:rsid w:val="00912067"/>
    <w:rsid w:val="009128CF"/>
    <w:rsid w:val="00914384"/>
    <w:rsid w:val="009157EE"/>
    <w:rsid w:val="00916BC3"/>
    <w:rsid w:val="00916EB4"/>
    <w:rsid w:val="009203F7"/>
    <w:rsid w:val="00922393"/>
    <w:rsid w:val="009223C1"/>
    <w:rsid w:val="009238DB"/>
    <w:rsid w:val="00924181"/>
    <w:rsid w:val="00924665"/>
    <w:rsid w:val="00924EA5"/>
    <w:rsid w:val="00925309"/>
    <w:rsid w:val="009254DE"/>
    <w:rsid w:val="009267F7"/>
    <w:rsid w:val="00927CFC"/>
    <w:rsid w:val="00930500"/>
    <w:rsid w:val="00931B97"/>
    <w:rsid w:val="00931FFA"/>
    <w:rsid w:val="00932684"/>
    <w:rsid w:val="00932864"/>
    <w:rsid w:val="00934291"/>
    <w:rsid w:val="00935386"/>
    <w:rsid w:val="0093548B"/>
    <w:rsid w:val="00935FF2"/>
    <w:rsid w:val="009361B6"/>
    <w:rsid w:val="009370D0"/>
    <w:rsid w:val="009379E8"/>
    <w:rsid w:val="00940639"/>
    <w:rsid w:val="00940C3F"/>
    <w:rsid w:val="00942E02"/>
    <w:rsid w:val="009439B4"/>
    <w:rsid w:val="009451C2"/>
    <w:rsid w:val="009451D6"/>
    <w:rsid w:val="00946833"/>
    <w:rsid w:val="00947175"/>
    <w:rsid w:val="00951D06"/>
    <w:rsid w:val="00953407"/>
    <w:rsid w:val="00954955"/>
    <w:rsid w:val="00954B08"/>
    <w:rsid w:val="00954CC0"/>
    <w:rsid w:val="00954F64"/>
    <w:rsid w:val="00956810"/>
    <w:rsid w:val="0095721A"/>
    <w:rsid w:val="00957287"/>
    <w:rsid w:val="0096130F"/>
    <w:rsid w:val="009613D1"/>
    <w:rsid w:val="00961ADE"/>
    <w:rsid w:val="009637F5"/>
    <w:rsid w:val="00964EF3"/>
    <w:rsid w:val="00965FA9"/>
    <w:rsid w:val="00966BEA"/>
    <w:rsid w:val="00967023"/>
    <w:rsid w:val="00967F03"/>
    <w:rsid w:val="00972CFE"/>
    <w:rsid w:val="00973231"/>
    <w:rsid w:val="00974232"/>
    <w:rsid w:val="0097596C"/>
    <w:rsid w:val="00975C36"/>
    <w:rsid w:val="0098130F"/>
    <w:rsid w:val="009842CB"/>
    <w:rsid w:val="00986793"/>
    <w:rsid w:val="00987EAE"/>
    <w:rsid w:val="00990853"/>
    <w:rsid w:val="00990BBC"/>
    <w:rsid w:val="00991C21"/>
    <w:rsid w:val="00994790"/>
    <w:rsid w:val="00994FB0"/>
    <w:rsid w:val="00995FEE"/>
    <w:rsid w:val="00996872"/>
    <w:rsid w:val="009972CF"/>
    <w:rsid w:val="009A13CD"/>
    <w:rsid w:val="009A302F"/>
    <w:rsid w:val="009A30F5"/>
    <w:rsid w:val="009A4331"/>
    <w:rsid w:val="009A4728"/>
    <w:rsid w:val="009A4761"/>
    <w:rsid w:val="009A51D5"/>
    <w:rsid w:val="009A579A"/>
    <w:rsid w:val="009A5E85"/>
    <w:rsid w:val="009A66F3"/>
    <w:rsid w:val="009A7AB2"/>
    <w:rsid w:val="009B0607"/>
    <w:rsid w:val="009B09BF"/>
    <w:rsid w:val="009B0EB1"/>
    <w:rsid w:val="009B1FAE"/>
    <w:rsid w:val="009B3EDB"/>
    <w:rsid w:val="009B5687"/>
    <w:rsid w:val="009B589D"/>
    <w:rsid w:val="009B63E5"/>
    <w:rsid w:val="009B6633"/>
    <w:rsid w:val="009B6850"/>
    <w:rsid w:val="009B6A74"/>
    <w:rsid w:val="009C16F6"/>
    <w:rsid w:val="009C1CF7"/>
    <w:rsid w:val="009C255C"/>
    <w:rsid w:val="009C3BF2"/>
    <w:rsid w:val="009C47E3"/>
    <w:rsid w:val="009C529E"/>
    <w:rsid w:val="009C5D4C"/>
    <w:rsid w:val="009C697E"/>
    <w:rsid w:val="009D0B75"/>
    <w:rsid w:val="009D22FC"/>
    <w:rsid w:val="009D2C56"/>
    <w:rsid w:val="009D2E11"/>
    <w:rsid w:val="009D3747"/>
    <w:rsid w:val="009D3F7C"/>
    <w:rsid w:val="009D6AC7"/>
    <w:rsid w:val="009D6FC4"/>
    <w:rsid w:val="009D70A0"/>
    <w:rsid w:val="009E006F"/>
    <w:rsid w:val="009E0273"/>
    <w:rsid w:val="009E0ACB"/>
    <w:rsid w:val="009E239E"/>
    <w:rsid w:val="009E34D5"/>
    <w:rsid w:val="009E3DF7"/>
    <w:rsid w:val="009E42E6"/>
    <w:rsid w:val="009E6DC8"/>
    <w:rsid w:val="009E7C56"/>
    <w:rsid w:val="009F0324"/>
    <w:rsid w:val="009F2CA7"/>
    <w:rsid w:val="009F4BB0"/>
    <w:rsid w:val="00A00D47"/>
    <w:rsid w:val="00A01797"/>
    <w:rsid w:val="00A01AC6"/>
    <w:rsid w:val="00A02872"/>
    <w:rsid w:val="00A0727E"/>
    <w:rsid w:val="00A10C63"/>
    <w:rsid w:val="00A10EF9"/>
    <w:rsid w:val="00A138D3"/>
    <w:rsid w:val="00A14933"/>
    <w:rsid w:val="00A177B9"/>
    <w:rsid w:val="00A2086A"/>
    <w:rsid w:val="00A22872"/>
    <w:rsid w:val="00A251B1"/>
    <w:rsid w:val="00A253F3"/>
    <w:rsid w:val="00A25FBC"/>
    <w:rsid w:val="00A26D99"/>
    <w:rsid w:val="00A30355"/>
    <w:rsid w:val="00A307FE"/>
    <w:rsid w:val="00A309C4"/>
    <w:rsid w:val="00A335BF"/>
    <w:rsid w:val="00A34018"/>
    <w:rsid w:val="00A350BB"/>
    <w:rsid w:val="00A35291"/>
    <w:rsid w:val="00A35854"/>
    <w:rsid w:val="00A360A7"/>
    <w:rsid w:val="00A36E16"/>
    <w:rsid w:val="00A36E23"/>
    <w:rsid w:val="00A415DF"/>
    <w:rsid w:val="00A41AA4"/>
    <w:rsid w:val="00A4299E"/>
    <w:rsid w:val="00A42F62"/>
    <w:rsid w:val="00A43197"/>
    <w:rsid w:val="00A43E45"/>
    <w:rsid w:val="00A45899"/>
    <w:rsid w:val="00A46409"/>
    <w:rsid w:val="00A46DBC"/>
    <w:rsid w:val="00A478F5"/>
    <w:rsid w:val="00A50D63"/>
    <w:rsid w:val="00A511B4"/>
    <w:rsid w:val="00A52A81"/>
    <w:rsid w:val="00A54BB2"/>
    <w:rsid w:val="00A6078A"/>
    <w:rsid w:val="00A60F77"/>
    <w:rsid w:val="00A61B38"/>
    <w:rsid w:val="00A61ED4"/>
    <w:rsid w:val="00A63C83"/>
    <w:rsid w:val="00A63CC4"/>
    <w:rsid w:val="00A64EC4"/>
    <w:rsid w:val="00A7026D"/>
    <w:rsid w:val="00A71952"/>
    <w:rsid w:val="00A74413"/>
    <w:rsid w:val="00A80B22"/>
    <w:rsid w:val="00A80C05"/>
    <w:rsid w:val="00A80F97"/>
    <w:rsid w:val="00A8166E"/>
    <w:rsid w:val="00A8219E"/>
    <w:rsid w:val="00A8297D"/>
    <w:rsid w:val="00A842F7"/>
    <w:rsid w:val="00A85760"/>
    <w:rsid w:val="00A918AC"/>
    <w:rsid w:val="00A93BDB"/>
    <w:rsid w:val="00A93FCC"/>
    <w:rsid w:val="00A94E9A"/>
    <w:rsid w:val="00A955DA"/>
    <w:rsid w:val="00A9695F"/>
    <w:rsid w:val="00A97E7C"/>
    <w:rsid w:val="00AA0AC3"/>
    <w:rsid w:val="00AA35C8"/>
    <w:rsid w:val="00AA39BE"/>
    <w:rsid w:val="00AA62EB"/>
    <w:rsid w:val="00AA685C"/>
    <w:rsid w:val="00AB15C9"/>
    <w:rsid w:val="00AB186A"/>
    <w:rsid w:val="00AB1EA8"/>
    <w:rsid w:val="00AB2C5C"/>
    <w:rsid w:val="00AB405D"/>
    <w:rsid w:val="00AB40CE"/>
    <w:rsid w:val="00AB643B"/>
    <w:rsid w:val="00AB6C4D"/>
    <w:rsid w:val="00AB6D04"/>
    <w:rsid w:val="00AB7501"/>
    <w:rsid w:val="00AC07C8"/>
    <w:rsid w:val="00AC1515"/>
    <w:rsid w:val="00AC1900"/>
    <w:rsid w:val="00AC1F08"/>
    <w:rsid w:val="00AC3004"/>
    <w:rsid w:val="00AC43B2"/>
    <w:rsid w:val="00AC4B32"/>
    <w:rsid w:val="00AC575A"/>
    <w:rsid w:val="00AD008A"/>
    <w:rsid w:val="00AD0AB0"/>
    <w:rsid w:val="00AD15B5"/>
    <w:rsid w:val="00AD22CD"/>
    <w:rsid w:val="00AD2888"/>
    <w:rsid w:val="00AD290C"/>
    <w:rsid w:val="00AD3B0A"/>
    <w:rsid w:val="00AD3BF6"/>
    <w:rsid w:val="00AD41CF"/>
    <w:rsid w:val="00AD462C"/>
    <w:rsid w:val="00AD486A"/>
    <w:rsid w:val="00AD5CA0"/>
    <w:rsid w:val="00AD7AA7"/>
    <w:rsid w:val="00AE09E9"/>
    <w:rsid w:val="00AE13A3"/>
    <w:rsid w:val="00AE3676"/>
    <w:rsid w:val="00AE3698"/>
    <w:rsid w:val="00AE5A79"/>
    <w:rsid w:val="00AE6032"/>
    <w:rsid w:val="00AE778E"/>
    <w:rsid w:val="00AE7DA3"/>
    <w:rsid w:val="00AF136F"/>
    <w:rsid w:val="00AF1A08"/>
    <w:rsid w:val="00AF1F38"/>
    <w:rsid w:val="00AF248B"/>
    <w:rsid w:val="00AF33C9"/>
    <w:rsid w:val="00AF33DA"/>
    <w:rsid w:val="00AF3FB9"/>
    <w:rsid w:val="00AF48A6"/>
    <w:rsid w:val="00AF5AB4"/>
    <w:rsid w:val="00B00169"/>
    <w:rsid w:val="00B01ECF"/>
    <w:rsid w:val="00B029FE"/>
    <w:rsid w:val="00B02B17"/>
    <w:rsid w:val="00B04138"/>
    <w:rsid w:val="00B04E7A"/>
    <w:rsid w:val="00B052B3"/>
    <w:rsid w:val="00B0642C"/>
    <w:rsid w:val="00B06AD4"/>
    <w:rsid w:val="00B074B1"/>
    <w:rsid w:val="00B10F7F"/>
    <w:rsid w:val="00B11276"/>
    <w:rsid w:val="00B13997"/>
    <w:rsid w:val="00B149EB"/>
    <w:rsid w:val="00B16B27"/>
    <w:rsid w:val="00B16BF8"/>
    <w:rsid w:val="00B21BD1"/>
    <w:rsid w:val="00B2230C"/>
    <w:rsid w:val="00B22748"/>
    <w:rsid w:val="00B2468B"/>
    <w:rsid w:val="00B25DB2"/>
    <w:rsid w:val="00B25EE9"/>
    <w:rsid w:val="00B2661E"/>
    <w:rsid w:val="00B276BB"/>
    <w:rsid w:val="00B3060F"/>
    <w:rsid w:val="00B3140B"/>
    <w:rsid w:val="00B31A53"/>
    <w:rsid w:val="00B32545"/>
    <w:rsid w:val="00B3323E"/>
    <w:rsid w:val="00B348E3"/>
    <w:rsid w:val="00B34D1C"/>
    <w:rsid w:val="00B34D7A"/>
    <w:rsid w:val="00B350B3"/>
    <w:rsid w:val="00B3548B"/>
    <w:rsid w:val="00B36737"/>
    <w:rsid w:val="00B3685C"/>
    <w:rsid w:val="00B401F6"/>
    <w:rsid w:val="00B40678"/>
    <w:rsid w:val="00B410E1"/>
    <w:rsid w:val="00B42CE1"/>
    <w:rsid w:val="00B4466A"/>
    <w:rsid w:val="00B45417"/>
    <w:rsid w:val="00B45D28"/>
    <w:rsid w:val="00B47C22"/>
    <w:rsid w:val="00B5040D"/>
    <w:rsid w:val="00B50BC9"/>
    <w:rsid w:val="00B50F35"/>
    <w:rsid w:val="00B51D08"/>
    <w:rsid w:val="00B528C4"/>
    <w:rsid w:val="00B535A6"/>
    <w:rsid w:val="00B538ED"/>
    <w:rsid w:val="00B541BF"/>
    <w:rsid w:val="00B57760"/>
    <w:rsid w:val="00B57B58"/>
    <w:rsid w:val="00B60BF5"/>
    <w:rsid w:val="00B62D08"/>
    <w:rsid w:val="00B63B9D"/>
    <w:rsid w:val="00B66145"/>
    <w:rsid w:val="00B66724"/>
    <w:rsid w:val="00B67142"/>
    <w:rsid w:val="00B7099F"/>
    <w:rsid w:val="00B71A19"/>
    <w:rsid w:val="00B739C9"/>
    <w:rsid w:val="00B7544D"/>
    <w:rsid w:val="00B755EF"/>
    <w:rsid w:val="00B7676E"/>
    <w:rsid w:val="00B80ADC"/>
    <w:rsid w:val="00B82767"/>
    <w:rsid w:val="00B8484A"/>
    <w:rsid w:val="00B84877"/>
    <w:rsid w:val="00B84BEB"/>
    <w:rsid w:val="00B84F74"/>
    <w:rsid w:val="00B852EC"/>
    <w:rsid w:val="00B8608C"/>
    <w:rsid w:val="00B90648"/>
    <w:rsid w:val="00B928DD"/>
    <w:rsid w:val="00B92A70"/>
    <w:rsid w:val="00B92C50"/>
    <w:rsid w:val="00B92DC8"/>
    <w:rsid w:val="00B93AF3"/>
    <w:rsid w:val="00B97E01"/>
    <w:rsid w:val="00B97FA1"/>
    <w:rsid w:val="00BA1A9F"/>
    <w:rsid w:val="00BA4869"/>
    <w:rsid w:val="00BA5821"/>
    <w:rsid w:val="00BA5DC9"/>
    <w:rsid w:val="00BA768A"/>
    <w:rsid w:val="00BB0364"/>
    <w:rsid w:val="00BB3D19"/>
    <w:rsid w:val="00BB5088"/>
    <w:rsid w:val="00BB565A"/>
    <w:rsid w:val="00BC0116"/>
    <w:rsid w:val="00BC05E9"/>
    <w:rsid w:val="00BC1CFE"/>
    <w:rsid w:val="00BC3841"/>
    <w:rsid w:val="00BC40D4"/>
    <w:rsid w:val="00BC43CD"/>
    <w:rsid w:val="00BC4452"/>
    <w:rsid w:val="00BC4D61"/>
    <w:rsid w:val="00BC6494"/>
    <w:rsid w:val="00BC6889"/>
    <w:rsid w:val="00BD0B4B"/>
    <w:rsid w:val="00BD315C"/>
    <w:rsid w:val="00BD3BA1"/>
    <w:rsid w:val="00BD6ED5"/>
    <w:rsid w:val="00BD745A"/>
    <w:rsid w:val="00BD7784"/>
    <w:rsid w:val="00BE0F82"/>
    <w:rsid w:val="00BE1ADD"/>
    <w:rsid w:val="00BE1C2C"/>
    <w:rsid w:val="00BE2660"/>
    <w:rsid w:val="00BE2BFC"/>
    <w:rsid w:val="00BE403A"/>
    <w:rsid w:val="00BE455E"/>
    <w:rsid w:val="00BF0E29"/>
    <w:rsid w:val="00BF173A"/>
    <w:rsid w:val="00BF18C7"/>
    <w:rsid w:val="00BF201B"/>
    <w:rsid w:val="00BF27AA"/>
    <w:rsid w:val="00BF467E"/>
    <w:rsid w:val="00BF4AB6"/>
    <w:rsid w:val="00BF57F2"/>
    <w:rsid w:val="00BF6A61"/>
    <w:rsid w:val="00C002A3"/>
    <w:rsid w:val="00C00719"/>
    <w:rsid w:val="00C0274C"/>
    <w:rsid w:val="00C03589"/>
    <w:rsid w:val="00C04030"/>
    <w:rsid w:val="00C056A1"/>
    <w:rsid w:val="00C065D0"/>
    <w:rsid w:val="00C106A1"/>
    <w:rsid w:val="00C10BDB"/>
    <w:rsid w:val="00C134EC"/>
    <w:rsid w:val="00C15348"/>
    <w:rsid w:val="00C1595C"/>
    <w:rsid w:val="00C171C6"/>
    <w:rsid w:val="00C173D8"/>
    <w:rsid w:val="00C20C5F"/>
    <w:rsid w:val="00C22BDC"/>
    <w:rsid w:val="00C23BE1"/>
    <w:rsid w:val="00C23C01"/>
    <w:rsid w:val="00C249EB"/>
    <w:rsid w:val="00C24F27"/>
    <w:rsid w:val="00C2621B"/>
    <w:rsid w:val="00C27034"/>
    <w:rsid w:val="00C27178"/>
    <w:rsid w:val="00C27A06"/>
    <w:rsid w:val="00C27ACD"/>
    <w:rsid w:val="00C312CC"/>
    <w:rsid w:val="00C31750"/>
    <w:rsid w:val="00C31BB0"/>
    <w:rsid w:val="00C34450"/>
    <w:rsid w:val="00C34955"/>
    <w:rsid w:val="00C34B13"/>
    <w:rsid w:val="00C406CA"/>
    <w:rsid w:val="00C43645"/>
    <w:rsid w:val="00C43A6E"/>
    <w:rsid w:val="00C44D53"/>
    <w:rsid w:val="00C44F57"/>
    <w:rsid w:val="00C459BF"/>
    <w:rsid w:val="00C46E16"/>
    <w:rsid w:val="00C51E3D"/>
    <w:rsid w:val="00C52EA3"/>
    <w:rsid w:val="00C5377D"/>
    <w:rsid w:val="00C54C32"/>
    <w:rsid w:val="00C55F99"/>
    <w:rsid w:val="00C576AE"/>
    <w:rsid w:val="00C60B3C"/>
    <w:rsid w:val="00C61555"/>
    <w:rsid w:val="00C62484"/>
    <w:rsid w:val="00C62544"/>
    <w:rsid w:val="00C6323E"/>
    <w:rsid w:val="00C63468"/>
    <w:rsid w:val="00C63BDF"/>
    <w:rsid w:val="00C63F0C"/>
    <w:rsid w:val="00C6433E"/>
    <w:rsid w:val="00C64709"/>
    <w:rsid w:val="00C67A1E"/>
    <w:rsid w:val="00C700DF"/>
    <w:rsid w:val="00C7047D"/>
    <w:rsid w:val="00C70558"/>
    <w:rsid w:val="00C717EE"/>
    <w:rsid w:val="00C726F9"/>
    <w:rsid w:val="00C73786"/>
    <w:rsid w:val="00C73CD2"/>
    <w:rsid w:val="00C75736"/>
    <w:rsid w:val="00C761CA"/>
    <w:rsid w:val="00C80478"/>
    <w:rsid w:val="00C80CC8"/>
    <w:rsid w:val="00C851A2"/>
    <w:rsid w:val="00C855C3"/>
    <w:rsid w:val="00C86F0D"/>
    <w:rsid w:val="00C871C1"/>
    <w:rsid w:val="00C87BD5"/>
    <w:rsid w:val="00C9030F"/>
    <w:rsid w:val="00C90BF0"/>
    <w:rsid w:val="00C91443"/>
    <w:rsid w:val="00C92343"/>
    <w:rsid w:val="00C92D74"/>
    <w:rsid w:val="00C9640C"/>
    <w:rsid w:val="00C96706"/>
    <w:rsid w:val="00C96A15"/>
    <w:rsid w:val="00C97E51"/>
    <w:rsid w:val="00CA1A95"/>
    <w:rsid w:val="00CA1E70"/>
    <w:rsid w:val="00CA21DB"/>
    <w:rsid w:val="00CA382B"/>
    <w:rsid w:val="00CA4DA1"/>
    <w:rsid w:val="00CA58FC"/>
    <w:rsid w:val="00CA5D55"/>
    <w:rsid w:val="00CB1534"/>
    <w:rsid w:val="00CB2344"/>
    <w:rsid w:val="00CB5307"/>
    <w:rsid w:val="00CB6857"/>
    <w:rsid w:val="00CB7452"/>
    <w:rsid w:val="00CB7A9E"/>
    <w:rsid w:val="00CC0658"/>
    <w:rsid w:val="00CC3DB5"/>
    <w:rsid w:val="00CC696C"/>
    <w:rsid w:val="00CC70AE"/>
    <w:rsid w:val="00CC73C9"/>
    <w:rsid w:val="00CC74E4"/>
    <w:rsid w:val="00CC76CF"/>
    <w:rsid w:val="00CD0CFB"/>
    <w:rsid w:val="00CD1432"/>
    <w:rsid w:val="00CD2520"/>
    <w:rsid w:val="00CD2541"/>
    <w:rsid w:val="00CD3B2B"/>
    <w:rsid w:val="00CD439D"/>
    <w:rsid w:val="00CD6268"/>
    <w:rsid w:val="00CD6A4F"/>
    <w:rsid w:val="00CD6DD9"/>
    <w:rsid w:val="00CD7EBC"/>
    <w:rsid w:val="00CE01FF"/>
    <w:rsid w:val="00CE1BB8"/>
    <w:rsid w:val="00CE1EB8"/>
    <w:rsid w:val="00CE23E2"/>
    <w:rsid w:val="00CE266B"/>
    <w:rsid w:val="00CE2AF0"/>
    <w:rsid w:val="00CE569D"/>
    <w:rsid w:val="00CE6551"/>
    <w:rsid w:val="00CE6E38"/>
    <w:rsid w:val="00CF12DC"/>
    <w:rsid w:val="00CF22E3"/>
    <w:rsid w:val="00CF3641"/>
    <w:rsid w:val="00CF798E"/>
    <w:rsid w:val="00D0037D"/>
    <w:rsid w:val="00D00D9A"/>
    <w:rsid w:val="00D00DAA"/>
    <w:rsid w:val="00D0108A"/>
    <w:rsid w:val="00D01169"/>
    <w:rsid w:val="00D02D85"/>
    <w:rsid w:val="00D06A2D"/>
    <w:rsid w:val="00D10802"/>
    <w:rsid w:val="00D12E2E"/>
    <w:rsid w:val="00D13796"/>
    <w:rsid w:val="00D1410A"/>
    <w:rsid w:val="00D14110"/>
    <w:rsid w:val="00D15FCF"/>
    <w:rsid w:val="00D161BA"/>
    <w:rsid w:val="00D16DD1"/>
    <w:rsid w:val="00D17332"/>
    <w:rsid w:val="00D20E98"/>
    <w:rsid w:val="00D22F5A"/>
    <w:rsid w:val="00D2425D"/>
    <w:rsid w:val="00D27F64"/>
    <w:rsid w:val="00D33253"/>
    <w:rsid w:val="00D337AF"/>
    <w:rsid w:val="00D34C3A"/>
    <w:rsid w:val="00D34CF2"/>
    <w:rsid w:val="00D34D73"/>
    <w:rsid w:val="00D3619B"/>
    <w:rsid w:val="00D37726"/>
    <w:rsid w:val="00D4009E"/>
    <w:rsid w:val="00D40736"/>
    <w:rsid w:val="00D41A81"/>
    <w:rsid w:val="00D44B32"/>
    <w:rsid w:val="00D45657"/>
    <w:rsid w:val="00D459FB"/>
    <w:rsid w:val="00D46C5E"/>
    <w:rsid w:val="00D5094C"/>
    <w:rsid w:val="00D50A16"/>
    <w:rsid w:val="00D517C4"/>
    <w:rsid w:val="00D52C3A"/>
    <w:rsid w:val="00D5405E"/>
    <w:rsid w:val="00D5411F"/>
    <w:rsid w:val="00D54457"/>
    <w:rsid w:val="00D56270"/>
    <w:rsid w:val="00D57C60"/>
    <w:rsid w:val="00D60335"/>
    <w:rsid w:val="00D61F0F"/>
    <w:rsid w:val="00D62581"/>
    <w:rsid w:val="00D62BDB"/>
    <w:rsid w:val="00D62F03"/>
    <w:rsid w:val="00D66980"/>
    <w:rsid w:val="00D6779D"/>
    <w:rsid w:val="00D67C90"/>
    <w:rsid w:val="00D706E1"/>
    <w:rsid w:val="00D753D4"/>
    <w:rsid w:val="00D76D0F"/>
    <w:rsid w:val="00D80B5E"/>
    <w:rsid w:val="00D812A9"/>
    <w:rsid w:val="00D812FF"/>
    <w:rsid w:val="00D819DB"/>
    <w:rsid w:val="00D82FFC"/>
    <w:rsid w:val="00D84D57"/>
    <w:rsid w:val="00D85147"/>
    <w:rsid w:val="00D86AE4"/>
    <w:rsid w:val="00D86D78"/>
    <w:rsid w:val="00D87935"/>
    <w:rsid w:val="00D900EF"/>
    <w:rsid w:val="00D90723"/>
    <w:rsid w:val="00D9145D"/>
    <w:rsid w:val="00D935AB"/>
    <w:rsid w:val="00D937AD"/>
    <w:rsid w:val="00D93BCA"/>
    <w:rsid w:val="00D95612"/>
    <w:rsid w:val="00D95A5D"/>
    <w:rsid w:val="00D95B0B"/>
    <w:rsid w:val="00D969C3"/>
    <w:rsid w:val="00D97702"/>
    <w:rsid w:val="00DA0A78"/>
    <w:rsid w:val="00DA0B7D"/>
    <w:rsid w:val="00DA13E6"/>
    <w:rsid w:val="00DA1871"/>
    <w:rsid w:val="00DA1968"/>
    <w:rsid w:val="00DA23E5"/>
    <w:rsid w:val="00DA31DE"/>
    <w:rsid w:val="00DA35CC"/>
    <w:rsid w:val="00DA3897"/>
    <w:rsid w:val="00DA6B84"/>
    <w:rsid w:val="00DA7F76"/>
    <w:rsid w:val="00DB04ED"/>
    <w:rsid w:val="00DB0520"/>
    <w:rsid w:val="00DB16FD"/>
    <w:rsid w:val="00DB4A36"/>
    <w:rsid w:val="00DB4EE7"/>
    <w:rsid w:val="00DB5C8E"/>
    <w:rsid w:val="00DB6157"/>
    <w:rsid w:val="00DB7F69"/>
    <w:rsid w:val="00DC069F"/>
    <w:rsid w:val="00DC0E55"/>
    <w:rsid w:val="00DC141D"/>
    <w:rsid w:val="00DC16FB"/>
    <w:rsid w:val="00DC1B86"/>
    <w:rsid w:val="00DC3E83"/>
    <w:rsid w:val="00DC42B7"/>
    <w:rsid w:val="00DC46A0"/>
    <w:rsid w:val="00DC68F3"/>
    <w:rsid w:val="00DD12DA"/>
    <w:rsid w:val="00DD1A7B"/>
    <w:rsid w:val="00DD2FF4"/>
    <w:rsid w:val="00DD4659"/>
    <w:rsid w:val="00DD52C9"/>
    <w:rsid w:val="00DD5545"/>
    <w:rsid w:val="00DD57FE"/>
    <w:rsid w:val="00DD636D"/>
    <w:rsid w:val="00DD73A4"/>
    <w:rsid w:val="00DE0001"/>
    <w:rsid w:val="00DE0EDD"/>
    <w:rsid w:val="00DE10CA"/>
    <w:rsid w:val="00DE19C5"/>
    <w:rsid w:val="00DE1CC4"/>
    <w:rsid w:val="00DE20B9"/>
    <w:rsid w:val="00DE591B"/>
    <w:rsid w:val="00DE639A"/>
    <w:rsid w:val="00DE7B6F"/>
    <w:rsid w:val="00DF208F"/>
    <w:rsid w:val="00DF359E"/>
    <w:rsid w:val="00DF5BEA"/>
    <w:rsid w:val="00DF5F7F"/>
    <w:rsid w:val="00E01376"/>
    <w:rsid w:val="00E0145A"/>
    <w:rsid w:val="00E0265C"/>
    <w:rsid w:val="00E028B9"/>
    <w:rsid w:val="00E03C1D"/>
    <w:rsid w:val="00E04BFA"/>
    <w:rsid w:val="00E05477"/>
    <w:rsid w:val="00E05502"/>
    <w:rsid w:val="00E0668A"/>
    <w:rsid w:val="00E10C84"/>
    <w:rsid w:val="00E1136B"/>
    <w:rsid w:val="00E12699"/>
    <w:rsid w:val="00E128EE"/>
    <w:rsid w:val="00E13CC0"/>
    <w:rsid w:val="00E14549"/>
    <w:rsid w:val="00E14622"/>
    <w:rsid w:val="00E14C3E"/>
    <w:rsid w:val="00E15CCD"/>
    <w:rsid w:val="00E15D04"/>
    <w:rsid w:val="00E173CE"/>
    <w:rsid w:val="00E175B7"/>
    <w:rsid w:val="00E17A19"/>
    <w:rsid w:val="00E20A71"/>
    <w:rsid w:val="00E2158C"/>
    <w:rsid w:val="00E2214F"/>
    <w:rsid w:val="00E22FD9"/>
    <w:rsid w:val="00E2542B"/>
    <w:rsid w:val="00E31804"/>
    <w:rsid w:val="00E32477"/>
    <w:rsid w:val="00E3251F"/>
    <w:rsid w:val="00E33A17"/>
    <w:rsid w:val="00E3487D"/>
    <w:rsid w:val="00E34E2D"/>
    <w:rsid w:val="00E35678"/>
    <w:rsid w:val="00E36F9E"/>
    <w:rsid w:val="00E37674"/>
    <w:rsid w:val="00E37C47"/>
    <w:rsid w:val="00E4085E"/>
    <w:rsid w:val="00E41EF6"/>
    <w:rsid w:val="00E42A4B"/>
    <w:rsid w:val="00E435AE"/>
    <w:rsid w:val="00E458A0"/>
    <w:rsid w:val="00E459F5"/>
    <w:rsid w:val="00E463F6"/>
    <w:rsid w:val="00E476F7"/>
    <w:rsid w:val="00E5082C"/>
    <w:rsid w:val="00E522E9"/>
    <w:rsid w:val="00E53228"/>
    <w:rsid w:val="00E533F2"/>
    <w:rsid w:val="00E547AB"/>
    <w:rsid w:val="00E55415"/>
    <w:rsid w:val="00E55AE0"/>
    <w:rsid w:val="00E57430"/>
    <w:rsid w:val="00E60560"/>
    <w:rsid w:val="00E6199A"/>
    <w:rsid w:val="00E61C68"/>
    <w:rsid w:val="00E62289"/>
    <w:rsid w:val="00E631FC"/>
    <w:rsid w:val="00E634EE"/>
    <w:rsid w:val="00E63B5F"/>
    <w:rsid w:val="00E66D21"/>
    <w:rsid w:val="00E67E8A"/>
    <w:rsid w:val="00E704F9"/>
    <w:rsid w:val="00E70688"/>
    <w:rsid w:val="00E70710"/>
    <w:rsid w:val="00E71116"/>
    <w:rsid w:val="00E71623"/>
    <w:rsid w:val="00E721C3"/>
    <w:rsid w:val="00E72966"/>
    <w:rsid w:val="00E73657"/>
    <w:rsid w:val="00E73845"/>
    <w:rsid w:val="00E73E89"/>
    <w:rsid w:val="00E766CB"/>
    <w:rsid w:val="00E77287"/>
    <w:rsid w:val="00E800E0"/>
    <w:rsid w:val="00E80400"/>
    <w:rsid w:val="00E83994"/>
    <w:rsid w:val="00E83A7C"/>
    <w:rsid w:val="00E83AEF"/>
    <w:rsid w:val="00E84453"/>
    <w:rsid w:val="00E855DF"/>
    <w:rsid w:val="00E87572"/>
    <w:rsid w:val="00E87B0B"/>
    <w:rsid w:val="00E90483"/>
    <w:rsid w:val="00E916E5"/>
    <w:rsid w:val="00E92A51"/>
    <w:rsid w:val="00E931B6"/>
    <w:rsid w:val="00E9324A"/>
    <w:rsid w:val="00E93CA5"/>
    <w:rsid w:val="00E942CC"/>
    <w:rsid w:val="00E942F4"/>
    <w:rsid w:val="00E95021"/>
    <w:rsid w:val="00E9587B"/>
    <w:rsid w:val="00E95D33"/>
    <w:rsid w:val="00E97263"/>
    <w:rsid w:val="00E977F0"/>
    <w:rsid w:val="00E97FAB"/>
    <w:rsid w:val="00EA0400"/>
    <w:rsid w:val="00EA135E"/>
    <w:rsid w:val="00EA1C41"/>
    <w:rsid w:val="00EA4237"/>
    <w:rsid w:val="00EA473A"/>
    <w:rsid w:val="00EB0CE3"/>
    <w:rsid w:val="00EB2ED4"/>
    <w:rsid w:val="00EB413C"/>
    <w:rsid w:val="00EB4C43"/>
    <w:rsid w:val="00EB56C4"/>
    <w:rsid w:val="00EB602F"/>
    <w:rsid w:val="00EB611F"/>
    <w:rsid w:val="00EB6954"/>
    <w:rsid w:val="00EB6B44"/>
    <w:rsid w:val="00EC1585"/>
    <w:rsid w:val="00EC20D0"/>
    <w:rsid w:val="00EC2281"/>
    <w:rsid w:val="00EC2BAC"/>
    <w:rsid w:val="00EC452A"/>
    <w:rsid w:val="00EC4560"/>
    <w:rsid w:val="00EC4C2A"/>
    <w:rsid w:val="00EC6CD5"/>
    <w:rsid w:val="00EC6FC4"/>
    <w:rsid w:val="00EC7B2D"/>
    <w:rsid w:val="00ED01B1"/>
    <w:rsid w:val="00ED0369"/>
    <w:rsid w:val="00ED07AA"/>
    <w:rsid w:val="00ED1903"/>
    <w:rsid w:val="00ED2B4D"/>
    <w:rsid w:val="00ED3A81"/>
    <w:rsid w:val="00ED3A95"/>
    <w:rsid w:val="00ED40D3"/>
    <w:rsid w:val="00ED56DC"/>
    <w:rsid w:val="00ED5919"/>
    <w:rsid w:val="00ED73E3"/>
    <w:rsid w:val="00EE04C3"/>
    <w:rsid w:val="00EE2381"/>
    <w:rsid w:val="00EE3204"/>
    <w:rsid w:val="00EE48E2"/>
    <w:rsid w:val="00EE4C66"/>
    <w:rsid w:val="00EE4D50"/>
    <w:rsid w:val="00EE6D7D"/>
    <w:rsid w:val="00EF1C21"/>
    <w:rsid w:val="00EF1C39"/>
    <w:rsid w:val="00EF24FE"/>
    <w:rsid w:val="00EF4649"/>
    <w:rsid w:val="00EF51DA"/>
    <w:rsid w:val="00EF578F"/>
    <w:rsid w:val="00EF70ED"/>
    <w:rsid w:val="00EF7DD3"/>
    <w:rsid w:val="00F00656"/>
    <w:rsid w:val="00F008BC"/>
    <w:rsid w:val="00F01154"/>
    <w:rsid w:val="00F01DDE"/>
    <w:rsid w:val="00F0269E"/>
    <w:rsid w:val="00F037C9"/>
    <w:rsid w:val="00F0445D"/>
    <w:rsid w:val="00F044F5"/>
    <w:rsid w:val="00F0575D"/>
    <w:rsid w:val="00F0695D"/>
    <w:rsid w:val="00F07203"/>
    <w:rsid w:val="00F104B7"/>
    <w:rsid w:val="00F105E4"/>
    <w:rsid w:val="00F106CF"/>
    <w:rsid w:val="00F1128B"/>
    <w:rsid w:val="00F11D7C"/>
    <w:rsid w:val="00F12C4C"/>
    <w:rsid w:val="00F12FD2"/>
    <w:rsid w:val="00F143A4"/>
    <w:rsid w:val="00F14996"/>
    <w:rsid w:val="00F14F21"/>
    <w:rsid w:val="00F154F0"/>
    <w:rsid w:val="00F16DFC"/>
    <w:rsid w:val="00F16E6A"/>
    <w:rsid w:val="00F174F7"/>
    <w:rsid w:val="00F17666"/>
    <w:rsid w:val="00F204B5"/>
    <w:rsid w:val="00F20D4B"/>
    <w:rsid w:val="00F21EE7"/>
    <w:rsid w:val="00F223C4"/>
    <w:rsid w:val="00F23999"/>
    <w:rsid w:val="00F23FF7"/>
    <w:rsid w:val="00F246E1"/>
    <w:rsid w:val="00F26AF3"/>
    <w:rsid w:val="00F27925"/>
    <w:rsid w:val="00F30443"/>
    <w:rsid w:val="00F3135D"/>
    <w:rsid w:val="00F31C97"/>
    <w:rsid w:val="00F31CFB"/>
    <w:rsid w:val="00F31DAB"/>
    <w:rsid w:val="00F31F12"/>
    <w:rsid w:val="00F322EF"/>
    <w:rsid w:val="00F3315E"/>
    <w:rsid w:val="00F34417"/>
    <w:rsid w:val="00F3445F"/>
    <w:rsid w:val="00F35036"/>
    <w:rsid w:val="00F43352"/>
    <w:rsid w:val="00F446EE"/>
    <w:rsid w:val="00F47D46"/>
    <w:rsid w:val="00F51604"/>
    <w:rsid w:val="00F5181C"/>
    <w:rsid w:val="00F51D01"/>
    <w:rsid w:val="00F52797"/>
    <w:rsid w:val="00F53236"/>
    <w:rsid w:val="00F53A42"/>
    <w:rsid w:val="00F53EBE"/>
    <w:rsid w:val="00F5417C"/>
    <w:rsid w:val="00F5566E"/>
    <w:rsid w:val="00F5649C"/>
    <w:rsid w:val="00F6369F"/>
    <w:rsid w:val="00F63F6B"/>
    <w:rsid w:val="00F70FEE"/>
    <w:rsid w:val="00F71ED8"/>
    <w:rsid w:val="00F7301B"/>
    <w:rsid w:val="00F762FF"/>
    <w:rsid w:val="00F76B11"/>
    <w:rsid w:val="00F779EA"/>
    <w:rsid w:val="00F77E3B"/>
    <w:rsid w:val="00F8022B"/>
    <w:rsid w:val="00F81E3B"/>
    <w:rsid w:val="00F82352"/>
    <w:rsid w:val="00F8281A"/>
    <w:rsid w:val="00F82A7C"/>
    <w:rsid w:val="00F82C7C"/>
    <w:rsid w:val="00F8308A"/>
    <w:rsid w:val="00F84AB6"/>
    <w:rsid w:val="00F85083"/>
    <w:rsid w:val="00F856D3"/>
    <w:rsid w:val="00F85CA1"/>
    <w:rsid w:val="00F86AD3"/>
    <w:rsid w:val="00F877C1"/>
    <w:rsid w:val="00F87DBC"/>
    <w:rsid w:val="00F90146"/>
    <w:rsid w:val="00F909E4"/>
    <w:rsid w:val="00F93775"/>
    <w:rsid w:val="00F93849"/>
    <w:rsid w:val="00F946B5"/>
    <w:rsid w:val="00F965E6"/>
    <w:rsid w:val="00F97D10"/>
    <w:rsid w:val="00FA047D"/>
    <w:rsid w:val="00FA076D"/>
    <w:rsid w:val="00FA13FD"/>
    <w:rsid w:val="00FA288B"/>
    <w:rsid w:val="00FA312F"/>
    <w:rsid w:val="00FA4849"/>
    <w:rsid w:val="00FA4FCD"/>
    <w:rsid w:val="00FA55FC"/>
    <w:rsid w:val="00FA5765"/>
    <w:rsid w:val="00FA5CF6"/>
    <w:rsid w:val="00FB152C"/>
    <w:rsid w:val="00FB2067"/>
    <w:rsid w:val="00FB453A"/>
    <w:rsid w:val="00FB500D"/>
    <w:rsid w:val="00FB7061"/>
    <w:rsid w:val="00FC0B88"/>
    <w:rsid w:val="00FC1869"/>
    <w:rsid w:val="00FC18EF"/>
    <w:rsid w:val="00FC1B80"/>
    <w:rsid w:val="00FC22C5"/>
    <w:rsid w:val="00FC3CA3"/>
    <w:rsid w:val="00FC4380"/>
    <w:rsid w:val="00FD0042"/>
    <w:rsid w:val="00FD0A0D"/>
    <w:rsid w:val="00FD0AFD"/>
    <w:rsid w:val="00FD116A"/>
    <w:rsid w:val="00FD2E94"/>
    <w:rsid w:val="00FD305E"/>
    <w:rsid w:val="00FD4CA4"/>
    <w:rsid w:val="00FD5981"/>
    <w:rsid w:val="00FD63B5"/>
    <w:rsid w:val="00FD654C"/>
    <w:rsid w:val="00FD6A38"/>
    <w:rsid w:val="00FE118C"/>
    <w:rsid w:val="00FE19F9"/>
    <w:rsid w:val="00FE2A29"/>
    <w:rsid w:val="00FE3BF4"/>
    <w:rsid w:val="00FE4874"/>
    <w:rsid w:val="00FE5D0D"/>
    <w:rsid w:val="00FE684E"/>
    <w:rsid w:val="00FE6A76"/>
    <w:rsid w:val="00FE6C75"/>
    <w:rsid w:val="00FF0D7C"/>
    <w:rsid w:val="00FF1E04"/>
    <w:rsid w:val="00FF3A38"/>
    <w:rsid w:val="00FF3D33"/>
    <w:rsid w:val="00FF48A9"/>
    <w:rsid w:val="00FF5457"/>
    <w:rsid w:val="00FF77F3"/>
    <w:rsid w:val="01144859"/>
    <w:rsid w:val="01424E5B"/>
    <w:rsid w:val="01551193"/>
    <w:rsid w:val="015E6BA0"/>
    <w:rsid w:val="01826A03"/>
    <w:rsid w:val="02163B6E"/>
    <w:rsid w:val="03921A03"/>
    <w:rsid w:val="03E73A12"/>
    <w:rsid w:val="045B260F"/>
    <w:rsid w:val="04657F2A"/>
    <w:rsid w:val="049C737F"/>
    <w:rsid w:val="05532673"/>
    <w:rsid w:val="059B3DAA"/>
    <w:rsid w:val="05C8509E"/>
    <w:rsid w:val="063F5D8F"/>
    <w:rsid w:val="06903489"/>
    <w:rsid w:val="069433A2"/>
    <w:rsid w:val="069F7723"/>
    <w:rsid w:val="07FB63F9"/>
    <w:rsid w:val="07FD41F7"/>
    <w:rsid w:val="080F76A4"/>
    <w:rsid w:val="08674142"/>
    <w:rsid w:val="08B237B1"/>
    <w:rsid w:val="08E545C1"/>
    <w:rsid w:val="09152EA8"/>
    <w:rsid w:val="09391DB0"/>
    <w:rsid w:val="098E5FC8"/>
    <w:rsid w:val="09EA53D7"/>
    <w:rsid w:val="0A24708B"/>
    <w:rsid w:val="0A335758"/>
    <w:rsid w:val="0A650EB2"/>
    <w:rsid w:val="0B5F45B9"/>
    <w:rsid w:val="0B6A339A"/>
    <w:rsid w:val="0BEB1F50"/>
    <w:rsid w:val="0BED0F30"/>
    <w:rsid w:val="0D5C4E0E"/>
    <w:rsid w:val="0D68203F"/>
    <w:rsid w:val="0D755681"/>
    <w:rsid w:val="0D91311B"/>
    <w:rsid w:val="0DA47DF1"/>
    <w:rsid w:val="0DA73FA8"/>
    <w:rsid w:val="0DB94A80"/>
    <w:rsid w:val="0DC172A8"/>
    <w:rsid w:val="0E010CC3"/>
    <w:rsid w:val="0EAD724C"/>
    <w:rsid w:val="0F1D13BF"/>
    <w:rsid w:val="0F7B4AA5"/>
    <w:rsid w:val="0FA07E42"/>
    <w:rsid w:val="0FB13B6C"/>
    <w:rsid w:val="0FD7447D"/>
    <w:rsid w:val="0FE52636"/>
    <w:rsid w:val="0FE94F9B"/>
    <w:rsid w:val="0FF56606"/>
    <w:rsid w:val="10AC469F"/>
    <w:rsid w:val="11596083"/>
    <w:rsid w:val="12042C2F"/>
    <w:rsid w:val="12B64560"/>
    <w:rsid w:val="12B91B6C"/>
    <w:rsid w:val="13387516"/>
    <w:rsid w:val="1347361C"/>
    <w:rsid w:val="13D62BBC"/>
    <w:rsid w:val="13E53E25"/>
    <w:rsid w:val="146671F5"/>
    <w:rsid w:val="14DD0503"/>
    <w:rsid w:val="159B6EFA"/>
    <w:rsid w:val="15D3061D"/>
    <w:rsid w:val="160161FA"/>
    <w:rsid w:val="16042108"/>
    <w:rsid w:val="16253BFB"/>
    <w:rsid w:val="16702CB1"/>
    <w:rsid w:val="16B831D5"/>
    <w:rsid w:val="16C37E82"/>
    <w:rsid w:val="16D24CBA"/>
    <w:rsid w:val="17163296"/>
    <w:rsid w:val="176118D7"/>
    <w:rsid w:val="18A613B6"/>
    <w:rsid w:val="1907765C"/>
    <w:rsid w:val="193E101D"/>
    <w:rsid w:val="194E13E4"/>
    <w:rsid w:val="1A091536"/>
    <w:rsid w:val="1B203908"/>
    <w:rsid w:val="1B5C6238"/>
    <w:rsid w:val="1B947E3D"/>
    <w:rsid w:val="1BD85CA9"/>
    <w:rsid w:val="1BF93576"/>
    <w:rsid w:val="1C546DF8"/>
    <w:rsid w:val="1C9075C7"/>
    <w:rsid w:val="1D813B72"/>
    <w:rsid w:val="1E2A420B"/>
    <w:rsid w:val="1EA70D3F"/>
    <w:rsid w:val="1EBF2291"/>
    <w:rsid w:val="1F1C07EC"/>
    <w:rsid w:val="200278E8"/>
    <w:rsid w:val="200F54C2"/>
    <w:rsid w:val="20A025BE"/>
    <w:rsid w:val="21320581"/>
    <w:rsid w:val="21EF5F88"/>
    <w:rsid w:val="21F26E49"/>
    <w:rsid w:val="229551B7"/>
    <w:rsid w:val="232A43C0"/>
    <w:rsid w:val="237B2D3F"/>
    <w:rsid w:val="23AD732E"/>
    <w:rsid w:val="242E74EE"/>
    <w:rsid w:val="24AC5698"/>
    <w:rsid w:val="24B2466D"/>
    <w:rsid w:val="24B3429D"/>
    <w:rsid w:val="24B5413C"/>
    <w:rsid w:val="24E127D7"/>
    <w:rsid w:val="256E643A"/>
    <w:rsid w:val="26143FAA"/>
    <w:rsid w:val="27194EC6"/>
    <w:rsid w:val="273D2194"/>
    <w:rsid w:val="275C0133"/>
    <w:rsid w:val="28565C8E"/>
    <w:rsid w:val="298E56A9"/>
    <w:rsid w:val="298F0757"/>
    <w:rsid w:val="299F5CDA"/>
    <w:rsid w:val="29A273A6"/>
    <w:rsid w:val="29B03871"/>
    <w:rsid w:val="29B3341C"/>
    <w:rsid w:val="2A4447E7"/>
    <w:rsid w:val="2A5E3FAA"/>
    <w:rsid w:val="2AAF2A60"/>
    <w:rsid w:val="2ADF2D3E"/>
    <w:rsid w:val="2B130055"/>
    <w:rsid w:val="2B6A38E5"/>
    <w:rsid w:val="2C1E72E6"/>
    <w:rsid w:val="2C4F3912"/>
    <w:rsid w:val="2C9A67BD"/>
    <w:rsid w:val="2D1D6B09"/>
    <w:rsid w:val="2D254CE4"/>
    <w:rsid w:val="2E4C6E65"/>
    <w:rsid w:val="2F04627D"/>
    <w:rsid w:val="2F162FFB"/>
    <w:rsid w:val="2FDB05B1"/>
    <w:rsid w:val="307C3FFF"/>
    <w:rsid w:val="30840777"/>
    <w:rsid w:val="3094371A"/>
    <w:rsid w:val="30A92540"/>
    <w:rsid w:val="312E7EA4"/>
    <w:rsid w:val="313740FB"/>
    <w:rsid w:val="313F372D"/>
    <w:rsid w:val="3196245E"/>
    <w:rsid w:val="31CC6130"/>
    <w:rsid w:val="31DE1C98"/>
    <w:rsid w:val="322403FA"/>
    <w:rsid w:val="325D01FB"/>
    <w:rsid w:val="328A6C2A"/>
    <w:rsid w:val="32B51EF8"/>
    <w:rsid w:val="32C9383A"/>
    <w:rsid w:val="32D9745C"/>
    <w:rsid w:val="32DA195F"/>
    <w:rsid w:val="33891360"/>
    <w:rsid w:val="33B95DD9"/>
    <w:rsid w:val="33D2366F"/>
    <w:rsid w:val="34D31759"/>
    <w:rsid w:val="34D61958"/>
    <w:rsid w:val="34FA0CAC"/>
    <w:rsid w:val="350D4514"/>
    <w:rsid w:val="35793102"/>
    <w:rsid w:val="35C73453"/>
    <w:rsid w:val="363A115B"/>
    <w:rsid w:val="363B4A21"/>
    <w:rsid w:val="36590DED"/>
    <w:rsid w:val="36856840"/>
    <w:rsid w:val="36B1529F"/>
    <w:rsid w:val="36BD75F4"/>
    <w:rsid w:val="36FA23E9"/>
    <w:rsid w:val="377C3FC2"/>
    <w:rsid w:val="37DB1006"/>
    <w:rsid w:val="380A4C2E"/>
    <w:rsid w:val="380A5FED"/>
    <w:rsid w:val="38D0542F"/>
    <w:rsid w:val="3A946897"/>
    <w:rsid w:val="3B766A87"/>
    <w:rsid w:val="3C6C0FC0"/>
    <w:rsid w:val="3C764C34"/>
    <w:rsid w:val="3C8C2368"/>
    <w:rsid w:val="3D337952"/>
    <w:rsid w:val="3D6744A3"/>
    <w:rsid w:val="3DFB5B9D"/>
    <w:rsid w:val="3EE6524D"/>
    <w:rsid w:val="3F1702DA"/>
    <w:rsid w:val="3F2E10EF"/>
    <w:rsid w:val="3F2F3033"/>
    <w:rsid w:val="3F584B3C"/>
    <w:rsid w:val="3F666763"/>
    <w:rsid w:val="3F863557"/>
    <w:rsid w:val="3FCC46FE"/>
    <w:rsid w:val="3FDE0541"/>
    <w:rsid w:val="40236FE9"/>
    <w:rsid w:val="4076462B"/>
    <w:rsid w:val="40A6363D"/>
    <w:rsid w:val="40B658C8"/>
    <w:rsid w:val="411A719C"/>
    <w:rsid w:val="414F52C6"/>
    <w:rsid w:val="4172549B"/>
    <w:rsid w:val="425A7B36"/>
    <w:rsid w:val="429C3483"/>
    <w:rsid w:val="42D82D89"/>
    <w:rsid w:val="434630AA"/>
    <w:rsid w:val="448F732A"/>
    <w:rsid w:val="44C227CA"/>
    <w:rsid w:val="4524238C"/>
    <w:rsid w:val="462F1B6A"/>
    <w:rsid w:val="467E61C4"/>
    <w:rsid w:val="474A4EF4"/>
    <w:rsid w:val="479E0D4B"/>
    <w:rsid w:val="47B7358A"/>
    <w:rsid w:val="47CF7161"/>
    <w:rsid w:val="486B5A88"/>
    <w:rsid w:val="488E040A"/>
    <w:rsid w:val="48D2515B"/>
    <w:rsid w:val="48E823B1"/>
    <w:rsid w:val="49CB4186"/>
    <w:rsid w:val="4A2700A1"/>
    <w:rsid w:val="4A2E5574"/>
    <w:rsid w:val="4A545FBE"/>
    <w:rsid w:val="4A6E532C"/>
    <w:rsid w:val="4A961320"/>
    <w:rsid w:val="4B42582F"/>
    <w:rsid w:val="4B787FC0"/>
    <w:rsid w:val="4BBB11A9"/>
    <w:rsid w:val="4BFD7A3B"/>
    <w:rsid w:val="4D090A1F"/>
    <w:rsid w:val="4D907591"/>
    <w:rsid w:val="4DD25842"/>
    <w:rsid w:val="4DD67D3F"/>
    <w:rsid w:val="4E141568"/>
    <w:rsid w:val="4E4F21E4"/>
    <w:rsid w:val="4E8567CB"/>
    <w:rsid w:val="4EF31987"/>
    <w:rsid w:val="4F453B86"/>
    <w:rsid w:val="4F5D5052"/>
    <w:rsid w:val="4F6C70AE"/>
    <w:rsid w:val="4F7B6997"/>
    <w:rsid w:val="4FB1539E"/>
    <w:rsid w:val="50AF18DD"/>
    <w:rsid w:val="50D77086"/>
    <w:rsid w:val="5118766E"/>
    <w:rsid w:val="516F2618"/>
    <w:rsid w:val="517F0E9D"/>
    <w:rsid w:val="518557C6"/>
    <w:rsid w:val="520E35B6"/>
    <w:rsid w:val="521B73AF"/>
    <w:rsid w:val="52623FC3"/>
    <w:rsid w:val="527E7728"/>
    <w:rsid w:val="5287218A"/>
    <w:rsid w:val="52AF4768"/>
    <w:rsid w:val="530C022E"/>
    <w:rsid w:val="532C5974"/>
    <w:rsid w:val="535673AF"/>
    <w:rsid w:val="53927CBB"/>
    <w:rsid w:val="53B536AF"/>
    <w:rsid w:val="54410686"/>
    <w:rsid w:val="54787EEC"/>
    <w:rsid w:val="54925EFC"/>
    <w:rsid w:val="549C2088"/>
    <w:rsid w:val="55826FE8"/>
    <w:rsid w:val="55AF0E87"/>
    <w:rsid w:val="55C951EF"/>
    <w:rsid w:val="55D75609"/>
    <w:rsid w:val="55DE121C"/>
    <w:rsid w:val="56522EB6"/>
    <w:rsid w:val="56EF6234"/>
    <w:rsid w:val="57163E38"/>
    <w:rsid w:val="573A334A"/>
    <w:rsid w:val="575046D6"/>
    <w:rsid w:val="57BA2943"/>
    <w:rsid w:val="583E0E16"/>
    <w:rsid w:val="587731DC"/>
    <w:rsid w:val="58D63430"/>
    <w:rsid w:val="59130E62"/>
    <w:rsid w:val="59166653"/>
    <w:rsid w:val="5926708E"/>
    <w:rsid w:val="59D6437F"/>
    <w:rsid w:val="5ABD37D2"/>
    <w:rsid w:val="5AF26239"/>
    <w:rsid w:val="5B8717A2"/>
    <w:rsid w:val="5C072885"/>
    <w:rsid w:val="5C980D41"/>
    <w:rsid w:val="5DF64FF0"/>
    <w:rsid w:val="5E864D17"/>
    <w:rsid w:val="60065775"/>
    <w:rsid w:val="60762418"/>
    <w:rsid w:val="609D4388"/>
    <w:rsid w:val="618D07E2"/>
    <w:rsid w:val="61E746FB"/>
    <w:rsid w:val="61F14953"/>
    <w:rsid w:val="622F287E"/>
    <w:rsid w:val="6243457B"/>
    <w:rsid w:val="624B51DE"/>
    <w:rsid w:val="625642AF"/>
    <w:rsid w:val="6270095D"/>
    <w:rsid w:val="62DF26C2"/>
    <w:rsid w:val="634D1B24"/>
    <w:rsid w:val="63F8704D"/>
    <w:rsid w:val="642B053A"/>
    <w:rsid w:val="64607667"/>
    <w:rsid w:val="65385EEE"/>
    <w:rsid w:val="65475731"/>
    <w:rsid w:val="65842EE1"/>
    <w:rsid w:val="659D09CB"/>
    <w:rsid w:val="659D580C"/>
    <w:rsid w:val="65D84EFB"/>
    <w:rsid w:val="66173D55"/>
    <w:rsid w:val="667D5A4B"/>
    <w:rsid w:val="66810BAB"/>
    <w:rsid w:val="66A01F9C"/>
    <w:rsid w:val="66B45A48"/>
    <w:rsid w:val="670F0ED0"/>
    <w:rsid w:val="679E608D"/>
    <w:rsid w:val="6809591F"/>
    <w:rsid w:val="6843485A"/>
    <w:rsid w:val="6886692F"/>
    <w:rsid w:val="68F01492"/>
    <w:rsid w:val="6A1A13B6"/>
    <w:rsid w:val="6A4C66EE"/>
    <w:rsid w:val="6A5F61F1"/>
    <w:rsid w:val="6A932EBF"/>
    <w:rsid w:val="6A952318"/>
    <w:rsid w:val="6B624439"/>
    <w:rsid w:val="6BFF2319"/>
    <w:rsid w:val="6CA524D2"/>
    <w:rsid w:val="6CCA1D88"/>
    <w:rsid w:val="6E054C2B"/>
    <w:rsid w:val="6ECA447F"/>
    <w:rsid w:val="6F257196"/>
    <w:rsid w:val="6F325911"/>
    <w:rsid w:val="6F407093"/>
    <w:rsid w:val="70737484"/>
    <w:rsid w:val="70E709F8"/>
    <w:rsid w:val="70E909E4"/>
    <w:rsid w:val="713D2448"/>
    <w:rsid w:val="71571FBA"/>
    <w:rsid w:val="715B5CB3"/>
    <w:rsid w:val="717936E7"/>
    <w:rsid w:val="71DE43F9"/>
    <w:rsid w:val="71EC21FD"/>
    <w:rsid w:val="720131BA"/>
    <w:rsid w:val="73455B1D"/>
    <w:rsid w:val="73FE2F4A"/>
    <w:rsid w:val="74274964"/>
    <w:rsid w:val="745B7ED2"/>
    <w:rsid w:val="74E41BEE"/>
    <w:rsid w:val="74FA13CA"/>
    <w:rsid w:val="75124FB2"/>
    <w:rsid w:val="75AF0FAD"/>
    <w:rsid w:val="75DE14B2"/>
    <w:rsid w:val="75F41EED"/>
    <w:rsid w:val="760B6EAE"/>
    <w:rsid w:val="76407E31"/>
    <w:rsid w:val="764D37C3"/>
    <w:rsid w:val="770C0DE5"/>
    <w:rsid w:val="77136332"/>
    <w:rsid w:val="773F692A"/>
    <w:rsid w:val="77D057DC"/>
    <w:rsid w:val="78C81CE5"/>
    <w:rsid w:val="79261B92"/>
    <w:rsid w:val="79BC44DE"/>
    <w:rsid w:val="79C02C22"/>
    <w:rsid w:val="79F06759"/>
    <w:rsid w:val="7A551FDE"/>
    <w:rsid w:val="7A6F75BB"/>
    <w:rsid w:val="7A7233C3"/>
    <w:rsid w:val="7A760272"/>
    <w:rsid w:val="7B046297"/>
    <w:rsid w:val="7B656E15"/>
    <w:rsid w:val="7B85349F"/>
    <w:rsid w:val="7C3E2C90"/>
    <w:rsid w:val="7C5A4666"/>
    <w:rsid w:val="7CE0713F"/>
    <w:rsid w:val="7D0C1CE2"/>
    <w:rsid w:val="7D3D258E"/>
    <w:rsid w:val="7D8D0136"/>
    <w:rsid w:val="7E034D07"/>
    <w:rsid w:val="7E573675"/>
    <w:rsid w:val="7E9479E8"/>
    <w:rsid w:val="7ED25858"/>
    <w:rsid w:val="7F393F07"/>
    <w:rsid w:val="7F663C93"/>
    <w:rsid w:val="7F99283F"/>
    <w:rsid w:val="7F9F6E3D"/>
    <w:rsid w:val="7FA23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34" w:semiHidden="0" w:name="heading 1"/>
    <w:lsdException w:qFormat="1" w:unhideWhenUsed="0" w:uiPriority="0" w:semiHidden="0" w:name="heading 2"/>
    <w:lsdException w:qFormat="1" w:unhideWhenUsed="0" w:uiPriority="34"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32"/>
    <w:qFormat/>
    <w:uiPriority w:val="34"/>
    <w:pPr>
      <w:keepNext/>
      <w:keepLines/>
      <w:spacing w:before="340" w:after="330" w:line="578" w:lineRule="auto"/>
      <w:outlineLvl w:val="0"/>
    </w:pPr>
    <w:rPr>
      <w:b/>
      <w:bCs/>
      <w:kern w:val="44"/>
      <w:sz w:val="44"/>
      <w:szCs w:val="44"/>
    </w:rPr>
  </w:style>
  <w:style w:type="paragraph" w:styleId="4">
    <w:name w:val="heading 2"/>
    <w:basedOn w:val="1"/>
    <w:next w:val="1"/>
    <w:link w:val="33"/>
    <w:qFormat/>
    <w:uiPriority w:val="0"/>
    <w:pPr>
      <w:keepNext/>
      <w:keepLines/>
      <w:spacing w:before="260" w:after="260" w:line="416" w:lineRule="auto"/>
      <w:outlineLvl w:val="1"/>
    </w:pPr>
    <w:rPr>
      <w:rFonts w:ascii="等线 Light" w:hAnsi="等线 Light" w:eastAsia="等线 Light"/>
      <w:b/>
      <w:bCs/>
      <w:sz w:val="32"/>
      <w:szCs w:val="32"/>
    </w:rPr>
  </w:style>
  <w:style w:type="paragraph" w:styleId="2">
    <w:name w:val="heading 3"/>
    <w:basedOn w:val="1"/>
    <w:next w:val="1"/>
    <w:link w:val="31"/>
    <w:qFormat/>
    <w:uiPriority w:val="34"/>
    <w:pPr>
      <w:spacing w:beforeAutospacing="1" w:afterAutospacing="1"/>
      <w:jc w:val="left"/>
      <w:outlineLvl w:val="2"/>
    </w:pPr>
    <w:rPr>
      <w:rFonts w:hint="eastAsia" w:ascii="宋体" w:hAnsi="宋体" w:eastAsia="宋体"/>
      <w:b/>
      <w:kern w:val="0"/>
      <w:sz w:val="27"/>
      <w:szCs w:val="27"/>
    </w:rPr>
  </w:style>
  <w:style w:type="paragraph" w:styleId="5">
    <w:name w:val="heading 4"/>
    <w:basedOn w:val="1"/>
    <w:next w:val="1"/>
    <w:link w:val="83"/>
    <w:unhideWhenUsed/>
    <w:qFormat/>
    <w:uiPriority w:val="9"/>
    <w:pPr>
      <w:keepNext/>
      <w:keepLines/>
      <w:outlineLvl w:val="3"/>
    </w:pPr>
    <w:rPr>
      <w:rFonts w:ascii="Arial" w:hAnsi="Arial" w:eastAsia="华文仿宋"/>
      <w:b/>
      <w:bCs/>
      <w:kern w:val="0"/>
      <w:sz w:val="24"/>
      <w:szCs w:val="28"/>
      <w:lang w:val="zh-CN"/>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semiHidden/>
    <w:unhideWhenUsed/>
    <w:qFormat/>
    <w:uiPriority w:val="35"/>
    <w:rPr>
      <w:rFonts w:ascii="等线 Light" w:hAnsi="等线 Light" w:eastAsia="黑体"/>
      <w:sz w:val="20"/>
      <w:szCs w:val="20"/>
    </w:rPr>
  </w:style>
  <w:style w:type="paragraph" w:styleId="8">
    <w:name w:val="annotation text"/>
    <w:basedOn w:val="1"/>
    <w:link w:val="34"/>
    <w:qFormat/>
    <w:uiPriority w:val="0"/>
    <w:pPr>
      <w:jc w:val="left"/>
    </w:pPr>
    <w:rPr>
      <w:rFonts w:ascii="Calibri" w:hAnsi="Calibri" w:eastAsia="宋体"/>
      <w:szCs w:val="24"/>
    </w:rPr>
  </w:style>
  <w:style w:type="paragraph" w:styleId="9">
    <w:name w:val="Body Text"/>
    <w:basedOn w:val="1"/>
    <w:link w:val="35"/>
    <w:qFormat/>
    <w:uiPriority w:val="1"/>
    <w:pPr>
      <w:spacing w:before="109"/>
      <w:ind w:left="120"/>
      <w:jc w:val="left"/>
    </w:pPr>
    <w:rPr>
      <w:rFonts w:ascii="宋体" w:hAnsi="宋体" w:eastAsia="宋体"/>
      <w:kern w:val="0"/>
      <w:szCs w:val="21"/>
      <w:lang w:eastAsia="en-US"/>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pPr>
  </w:style>
  <w:style w:type="paragraph" w:styleId="12">
    <w:name w:val="toc 8"/>
    <w:basedOn w:val="1"/>
    <w:next w:val="1"/>
    <w:unhideWhenUsed/>
    <w:qFormat/>
    <w:uiPriority w:val="39"/>
    <w:pPr>
      <w:ind w:left="2940" w:leftChars="1400"/>
    </w:pPr>
  </w:style>
  <w:style w:type="paragraph" w:styleId="13">
    <w:name w:val="Date"/>
    <w:basedOn w:val="1"/>
    <w:next w:val="1"/>
    <w:link w:val="99"/>
    <w:semiHidden/>
    <w:unhideWhenUsed/>
    <w:qFormat/>
    <w:uiPriority w:val="99"/>
    <w:pPr>
      <w:ind w:left="100" w:leftChars="2500"/>
    </w:pPr>
  </w:style>
  <w:style w:type="paragraph" w:styleId="14">
    <w:name w:val="Balloon Text"/>
    <w:basedOn w:val="1"/>
    <w:link w:val="36"/>
    <w:unhideWhenUsed/>
    <w:qFormat/>
    <w:uiPriority w:val="99"/>
    <w:rPr>
      <w:sz w:val="18"/>
      <w:szCs w:val="18"/>
    </w:rPr>
  </w:style>
  <w:style w:type="paragraph" w:styleId="15">
    <w:name w:val="footer"/>
    <w:basedOn w:val="1"/>
    <w:link w:val="37"/>
    <w:unhideWhenUsed/>
    <w:qFormat/>
    <w:uiPriority w:val="99"/>
    <w:pPr>
      <w:tabs>
        <w:tab w:val="center" w:pos="4153"/>
        <w:tab w:val="right" w:pos="8306"/>
      </w:tabs>
      <w:snapToGrid w:val="0"/>
      <w:jc w:val="left"/>
    </w:pPr>
    <w:rPr>
      <w:sz w:val="18"/>
      <w:szCs w:val="18"/>
    </w:rPr>
  </w:style>
  <w:style w:type="paragraph" w:styleId="16">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tabs>
        <w:tab w:val="right" w:leader="dot" w:pos="8296"/>
      </w:tabs>
    </w:pPr>
    <w:rPr>
      <w:rFonts w:ascii="黑体" w:hAnsi="黑体" w:eastAsia="黑体"/>
    </w:rPr>
  </w:style>
  <w:style w:type="paragraph" w:styleId="18">
    <w:name w:val="toc 4"/>
    <w:basedOn w:val="1"/>
    <w:next w:val="1"/>
    <w:unhideWhenUsed/>
    <w:qFormat/>
    <w:uiPriority w:val="39"/>
    <w:pPr>
      <w:ind w:left="1260" w:leftChars="600"/>
    </w:pPr>
  </w:style>
  <w:style w:type="paragraph" w:styleId="19">
    <w:name w:val="toc 6"/>
    <w:basedOn w:val="1"/>
    <w:next w:val="1"/>
    <w:unhideWhenUsed/>
    <w:qFormat/>
    <w:uiPriority w:val="39"/>
    <w:pPr>
      <w:ind w:left="2100" w:leftChars="1000"/>
    </w:p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ind w:left="3360" w:leftChars="1600"/>
    </w:pPr>
  </w:style>
  <w:style w:type="paragraph" w:styleId="2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3">
    <w:name w:val="annotation subject"/>
    <w:basedOn w:val="8"/>
    <w:next w:val="8"/>
    <w:link w:val="39"/>
    <w:qFormat/>
    <w:uiPriority w:val="0"/>
    <w:rPr>
      <w:b/>
      <w:bCs/>
    </w:rPr>
  </w:style>
  <w:style w:type="table" w:styleId="25">
    <w:name w:val="Table Grid"/>
    <w:basedOn w:val="2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rPr>
  </w:style>
  <w:style w:type="character" w:styleId="28">
    <w:name w:val="Emphasis"/>
    <w:qFormat/>
    <w:uiPriority w:val="20"/>
    <w:rPr>
      <w:i/>
    </w:rPr>
  </w:style>
  <w:style w:type="character" w:styleId="29">
    <w:name w:val="Hyperlink"/>
    <w:unhideWhenUsed/>
    <w:qFormat/>
    <w:uiPriority w:val="99"/>
    <w:rPr>
      <w:color w:val="0563C1"/>
      <w:u w:val="single"/>
    </w:rPr>
  </w:style>
  <w:style w:type="character" w:styleId="30">
    <w:name w:val="annotation reference"/>
    <w:qFormat/>
    <w:uiPriority w:val="0"/>
    <w:rPr>
      <w:sz w:val="21"/>
      <w:szCs w:val="21"/>
    </w:rPr>
  </w:style>
  <w:style w:type="character" w:customStyle="1" w:styleId="31">
    <w:name w:val="标题 3 字符"/>
    <w:link w:val="2"/>
    <w:qFormat/>
    <w:uiPriority w:val="9"/>
    <w:rPr>
      <w:rFonts w:ascii="宋体" w:hAnsi="宋体"/>
      <w:b/>
      <w:sz w:val="27"/>
      <w:szCs w:val="27"/>
    </w:rPr>
  </w:style>
  <w:style w:type="character" w:customStyle="1" w:styleId="32">
    <w:name w:val="标题 1 字符"/>
    <w:link w:val="3"/>
    <w:qFormat/>
    <w:uiPriority w:val="9"/>
    <w:rPr>
      <w:b/>
      <w:bCs/>
      <w:kern w:val="44"/>
      <w:sz w:val="44"/>
      <w:szCs w:val="44"/>
    </w:rPr>
  </w:style>
  <w:style w:type="character" w:customStyle="1" w:styleId="33">
    <w:name w:val="标题 2 字符"/>
    <w:link w:val="4"/>
    <w:qFormat/>
    <w:uiPriority w:val="99"/>
    <w:rPr>
      <w:rFonts w:ascii="等线 Light" w:hAnsi="等线 Light" w:eastAsia="等线 Light" w:cs="Times New Roman"/>
      <w:b/>
      <w:bCs/>
      <w:kern w:val="2"/>
      <w:sz w:val="32"/>
      <w:szCs w:val="32"/>
    </w:rPr>
  </w:style>
  <w:style w:type="character" w:customStyle="1" w:styleId="34">
    <w:name w:val="批注文字 字符"/>
    <w:link w:val="8"/>
    <w:qFormat/>
    <w:uiPriority w:val="0"/>
    <w:rPr>
      <w:rFonts w:ascii="Calibri" w:hAnsi="Calibri" w:eastAsia="宋体" w:cs="Times New Roman"/>
      <w:szCs w:val="24"/>
    </w:rPr>
  </w:style>
  <w:style w:type="character" w:customStyle="1" w:styleId="35">
    <w:name w:val="正文文本 字符1"/>
    <w:link w:val="9"/>
    <w:qFormat/>
    <w:uiPriority w:val="1"/>
    <w:rPr>
      <w:rFonts w:ascii="宋体" w:hAnsi="宋体"/>
      <w:sz w:val="21"/>
      <w:szCs w:val="21"/>
      <w:lang w:eastAsia="en-US"/>
    </w:rPr>
  </w:style>
  <w:style w:type="character" w:customStyle="1" w:styleId="36">
    <w:name w:val="批注框文本 字符"/>
    <w:link w:val="14"/>
    <w:semiHidden/>
    <w:qFormat/>
    <w:uiPriority w:val="99"/>
    <w:rPr>
      <w:rFonts w:ascii="等线" w:hAnsi="等线" w:eastAsia="等线" w:cs="Times New Roman"/>
      <w:kern w:val="2"/>
      <w:sz w:val="18"/>
      <w:szCs w:val="18"/>
    </w:rPr>
  </w:style>
  <w:style w:type="character" w:customStyle="1" w:styleId="37">
    <w:name w:val="页脚 字符"/>
    <w:link w:val="15"/>
    <w:qFormat/>
    <w:uiPriority w:val="99"/>
    <w:rPr>
      <w:sz w:val="18"/>
      <w:szCs w:val="18"/>
    </w:rPr>
  </w:style>
  <w:style w:type="character" w:customStyle="1" w:styleId="38">
    <w:name w:val="页眉 字符"/>
    <w:link w:val="16"/>
    <w:qFormat/>
    <w:uiPriority w:val="99"/>
    <w:rPr>
      <w:sz w:val="18"/>
      <w:szCs w:val="18"/>
    </w:rPr>
  </w:style>
  <w:style w:type="character" w:customStyle="1" w:styleId="39">
    <w:name w:val="批注主题 字符"/>
    <w:link w:val="23"/>
    <w:qFormat/>
    <w:uiPriority w:val="0"/>
    <w:rPr>
      <w:rFonts w:ascii="Calibri" w:hAnsi="Calibri" w:eastAsia="宋体" w:cs="Times New Roman"/>
      <w:b/>
      <w:bCs/>
      <w:szCs w:val="24"/>
    </w:rPr>
  </w:style>
  <w:style w:type="paragraph" w:styleId="40">
    <w:name w:val="List Paragraph"/>
    <w:basedOn w:val="1"/>
    <w:qFormat/>
    <w:uiPriority w:val="99"/>
    <w:pPr>
      <w:ind w:firstLine="420" w:firstLineChars="200"/>
    </w:pPr>
  </w:style>
  <w:style w:type="paragraph" w:customStyle="1" w:styleId="41">
    <w:name w:val="TOC 标题1"/>
    <w:basedOn w:val="3"/>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styleId="42">
    <w:name w:val="Placeholder Text"/>
    <w:unhideWhenUsed/>
    <w:qFormat/>
    <w:uiPriority w:val="99"/>
    <w:rPr>
      <w:color w:val="808080"/>
    </w:rPr>
  </w:style>
  <w:style w:type="paragraph" w:customStyle="1" w:styleId="43">
    <w:name w:val="修订1"/>
    <w:unhideWhenUsed/>
    <w:qFormat/>
    <w:uiPriority w:val="99"/>
    <w:rPr>
      <w:rFonts w:ascii="Calibri" w:hAnsi="Calibri" w:eastAsia="宋体" w:cs="Times New Roman"/>
      <w:kern w:val="2"/>
      <w:sz w:val="21"/>
      <w:szCs w:val="24"/>
      <w:lang w:val="en-US" w:eastAsia="zh-CN" w:bidi="ar-SA"/>
    </w:rPr>
  </w:style>
  <w:style w:type="paragraph" w:customStyle="1" w:styleId="4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45">
    <w:name w:val="未处理的提及1"/>
    <w:unhideWhenUsed/>
    <w:qFormat/>
    <w:uiPriority w:val="99"/>
    <w:rPr>
      <w:color w:val="605E5C"/>
      <w:shd w:val="clear" w:color="auto" w:fill="E1DFDD"/>
    </w:rPr>
  </w:style>
  <w:style w:type="paragraph" w:customStyle="1" w:styleId="46">
    <w:name w:val="段"/>
    <w:link w:val="4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7">
    <w:name w:val="段 Char"/>
    <w:link w:val="46"/>
    <w:qFormat/>
    <w:uiPriority w:val="0"/>
    <w:rPr>
      <w:rFonts w:ascii="宋体" w:hAnsi="Times New Roman" w:eastAsia="宋体" w:cs="Times New Roman"/>
      <w:kern w:val="0"/>
      <w:szCs w:val="20"/>
    </w:rPr>
  </w:style>
  <w:style w:type="paragraph" w:customStyle="1" w:styleId="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character" w:customStyle="1" w:styleId="49">
    <w:name w:val="发布"/>
    <w:qFormat/>
    <w:uiPriority w:val="0"/>
    <w:rPr>
      <w:rFonts w:ascii="黑体" w:eastAsia="黑体"/>
      <w:spacing w:val="85"/>
      <w:w w:val="100"/>
      <w:position w:val="3"/>
      <w:sz w:val="28"/>
      <w:szCs w:val="28"/>
    </w:rPr>
  </w:style>
  <w:style w:type="paragraph" w:customStyle="1" w:styleId="5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1">
    <w:name w:val="封面标准英文名称"/>
    <w:basedOn w:val="50"/>
    <w:qFormat/>
    <w:uiPriority w:val="0"/>
    <w:pPr>
      <w:framePr w:wrap="around"/>
      <w:spacing w:before="370" w:line="400" w:lineRule="exact"/>
    </w:pPr>
    <w:rPr>
      <w:rFonts w:ascii="Times New Roman"/>
      <w:sz w:val="28"/>
      <w:szCs w:val="28"/>
    </w:rPr>
  </w:style>
  <w:style w:type="paragraph" w:customStyle="1" w:styleId="52">
    <w:name w:val="封面一致性程度标识"/>
    <w:basedOn w:val="51"/>
    <w:qFormat/>
    <w:uiPriority w:val="0"/>
    <w:pPr>
      <w:framePr w:wrap="around"/>
      <w:spacing w:before="440"/>
    </w:pPr>
    <w:rPr>
      <w:rFonts w:ascii="宋体" w:eastAsia="宋体"/>
    </w:rPr>
  </w:style>
  <w:style w:type="paragraph" w:customStyle="1" w:styleId="53">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eastAsia="宋体"/>
      <w:b/>
      <w:w w:val="130"/>
      <w:kern w:val="0"/>
      <w:sz w:val="96"/>
      <w:szCs w:val="96"/>
    </w:rPr>
  </w:style>
  <w:style w:type="paragraph" w:customStyle="1" w:styleId="5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5">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spacing w:val="20"/>
      <w:w w:val="135"/>
      <w:kern w:val="0"/>
      <w:sz w:val="28"/>
      <w:szCs w:val="20"/>
    </w:rPr>
  </w:style>
  <w:style w:type="paragraph" w:customStyle="1" w:styleId="5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57">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58">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59">
    <w:name w:val="前言、引言标题"/>
    <w:next w:val="4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0">
    <w:name w:val="修订2"/>
    <w:semiHidden/>
    <w:qFormat/>
    <w:uiPriority w:val="99"/>
    <w:rPr>
      <w:rFonts w:ascii="等线" w:hAnsi="等线" w:eastAsia="等线" w:cs="Times New Roman"/>
      <w:kern w:val="2"/>
      <w:sz w:val="21"/>
      <w:szCs w:val="22"/>
      <w:lang w:val="en-US" w:eastAsia="zh-CN" w:bidi="ar-SA"/>
    </w:rPr>
  </w:style>
  <w:style w:type="paragraph" w:customStyle="1" w:styleId="61">
    <w:name w:val="Default"/>
    <w:unhideWhenUsed/>
    <w:qFormat/>
    <w:uiPriority w:val="99"/>
    <w:pPr>
      <w:widowControl w:val="0"/>
      <w:autoSpaceDE w:val="0"/>
      <w:autoSpaceDN w:val="0"/>
      <w:adjustRightInd w:val="0"/>
    </w:pPr>
    <w:rPr>
      <w:rFonts w:hint="eastAsia" w:ascii="宋体_x0006_硧.吀" w:hAnsi="宋体_x0006_硧.吀" w:eastAsia="宋体_x0006_硧.吀" w:cs="Times New Roman"/>
      <w:color w:val="000000"/>
      <w:sz w:val="24"/>
      <w:lang w:val="en-US" w:eastAsia="zh-CN" w:bidi="ar-SA"/>
    </w:rPr>
  </w:style>
  <w:style w:type="paragraph" w:customStyle="1" w:styleId="62">
    <w:name w:val="目次、标准名称标题"/>
    <w:basedOn w:val="1"/>
    <w:next w:val="4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4">
    <w:name w:val="章标题"/>
    <w:next w:val="46"/>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65">
    <w:name w:val="二级条标题"/>
    <w:basedOn w:val="66"/>
    <w:next w:val="46"/>
    <w:qFormat/>
    <w:uiPriority w:val="0"/>
    <w:pPr>
      <w:spacing w:before="50" w:after="50"/>
      <w:outlineLvl w:val="3"/>
    </w:pPr>
  </w:style>
  <w:style w:type="paragraph" w:customStyle="1" w:styleId="66">
    <w:name w:val="一级条标题"/>
    <w:next w:val="46"/>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67">
    <w:name w:val="四级条标题"/>
    <w:basedOn w:val="1"/>
    <w:next w:val="46"/>
    <w:qFormat/>
    <w:uiPriority w:val="0"/>
    <w:pPr>
      <w:widowControl/>
      <w:spacing w:beforeLines="50" w:afterLines="50"/>
      <w:jc w:val="left"/>
      <w:outlineLvl w:val="5"/>
    </w:pPr>
    <w:rPr>
      <w:rFonts w:ascii="黑体" w:hAnsi="Times New Roman" w:eastAsia="黑体"/>
      <w:kern w:val="0"/>
      <w:szCs w:val="21"/>
    </w:rPr>
  </w:style>
  <w:style w:type="paragraph" w:customStyle="1" w:styleId="68">
    <w:name w:val="五级条标题"/>
    <w:basedOn w:val="67"/>
    <w:next w:val="46"/>
    <w:qFormat/>
    <w:uiPriority w:val="0"/>
    <w:pPr>
      <w:outlineLvl w:val="6"/>
    </w:pPr>
  </w:style>
  <w:style w:type="paragraph" w:customStyle="1" w:styleId="69">
    <w:name w:val="正文表标题"/>
    <w:next w:val="46"/>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70">
    <w:name w:val="二级无"/>
    <w:basedOn w:val="65"/>
    <w:qFormat/>
    <w:uiPriority w:val="0"/>
    <w:pPr>
      <w:spacing w:beforeLines="0" w:afterLines="0"/>
      <w:ind w:left="142"/>
    </w:pPr>
    <w:rPr>
      <w:rFonts w:ascii="宋体" w:eastAsia="宋体"/>
    </w:rPr>
  </w:style>
  <w:style w:type="paragraph" w:customStyle="1" w:styleId="71">
    <w:name w:val="附录标识"/>
    <w:basedOn w:val="1"/>
    <w:next w:val="46"/>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kern w:val="0"/>
      <w:szCs w:val="20"/>
    </w:rPr>
  </w:style>
  <w:style w:type="paragraph" w:customStyle="1" w:styleId="72">
    <w:name w:val="附录章标题"/>
    <w:next w:val="46"/>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3">
    <w:name w:val="附录一级条标题"/>
    <w:basedOn w:val="72"/>
    <w:next w:val="46"/>
    <w:qFormat/>
    <w:uiPriority w:val="0"/>
    <w:pPr>
      <w:autoSpaceDN w:val="0"/>
      <w:spacing w:before="50" w:beforeLines="50" w:after="50" w:afterLines="50"/>
      <w:outlineLvl w:val="2"/>
    </w:pPr>
  </w:style>
  <w:style w:type="paragraph" w:customStyle="1" w:styleId="74">
    <w:name w:val="附录一级无"/>
    <w:basedOn w:val="73"/>
    <w:qFormat/>
    <w:uiPriority w:val="0"/>
    <w:pPr>
      <w:spacing w:before="0" w:beforeLines="0" w:after="0" w:afterLines="0"/>
    </w:pPr>
    <w:rPr>
      <w:rFonts w:ascii="宋体" w:eastAsia="宋体"/>
      <w:szCs w:val="21"/>
    </w:rPr>
  </w:style>
  <w:style w:type="paragraph" w:customStyle="1" w:styleId="75">
    <w:name w:val="公式1"/>
    <w:basedOn w:val="1"/>
    <w:next w:val="1"/>
    <w:qFormat/>
    <w:uiPriority w:val="0"/>
    <w:pPr>
      <w:tabs>
        <w:tab w:val="center" w:pos="4099"/>
        <w:tab w:val="right" w:pos="8301"/>
      </w:tabs>
      <w:spacing w:before="100" w:after="100"/>
    </w:pPr>
    <w:rPr>
      <w:rFonts w:eastAsia="宋体"/>
    </w:rPr>
  </w:style>
  <w:style w:type="paragraph" w:customStyle="1" w:styleId="76">
    <w:name w:val="修订3"/>
    <w:unhideWhenUsed/>
    <w:qFormat/>
    <w:uiPriority w:val="99"/>
    <w:rPr>
      <w:rFonts w:ascii="等线" w:hAnsi="等线" w:eastAsia="等线" w:cs="Times New Roman"/>
      <w:kern w:val="2"/>
      <w:sz w:val="21"/>
      <w:szCs w:val="22"/>
      <w:lang w:val="en-US" w:eastAsia="zh-CN" w:bidi="ar-SA"/>
    </w:rPr>
  </w:style>
  <w:style w:type="paragraph" w:customStyle="1" w:styleId="77">
    <w:name w:val="WPSOffice手动目录 1"/>
    <w:qFormat/>
    <w:uiPriority w:val="0"/>
    <w:rPr>
      <w:rFonts w:ascii="Calibri" w:hAnsi="Calibri" w:eastAsia="宋体" w:cs="Times New Roman"/>
      <w:lang w:val="en-US" w:eastAsia="zh-CN" w:bidi="ar-SA"/>
    </w:rPr>
  </w:style>
  <w:style w:type="paragraph" w:customStyle="1" w:styleId="78">
    <w:name w:val="WPSOffice手动目录 2"/>
    <w:qFormat/>
    <w:uiPriority w:val="0"/>
    <w:pPr>
      <w:ind w:left="200" w:leftChars="200"/>
    </w:pPr>
    <w:rPr>
      <w:rFonts w:ascii="Calibri" w:hAnsi="Calibri" w:eastAsia="宋体" w:cs="Times New Roman"/>
      <w:lang w:val="en-US" w:eastAsia="zh-CN" w:bidi="ar-SA"/>
    </w:rPr>
  </w:style>
  <w:style w:type="paragraph" w:customStyle="1" w:styleId="79">
    <w:name w:val="WPSOffice手动目录 3"/>
    <w:qFormat/>
    <w:uiPriority w:val="0"/>
    <w:pPr>
      <w:ind w:left="400" w:leftChars="400"/>
    </w:pPr>
    <w:rPr>
      <w:rFonts w:ascii="Calibri" w:hAnsi="Calibri" w:eastAsia="宋体" w:cs="Times New Roman"/>
      <w:lang w:val="en-US" w:eastAsia="zh-CN" w:bidi="ar-SA"/>
    </w:rPr>
  </w:style>
  <w:style w:type="paragraph" w:customStyle="1" w:styleId="80">
    <w:name w:val="TOC 标题2"/>
    <w:basedOn w:val="3"/>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81">
    <w:name w:val="正文文本 字符"/>
    <w:qFormat/>
    <w:uiPriority w:val="1"/>
    <w:rPr>
      <w:rFonts w:ascii="等线" w:hAnsi="等线" w:eastAsia="等线" w:cs="Times New Roman"/>
      <w:kern w:val="2"/>
      <w:sz w:val="21"/>
      <w:szCs w:val="22"/>
    </w:rPr>
  </w:style>
  <w:style w:type="character" w:customStyle="1" w:styleId="82">
    <w:name w:val="MTEquationSection"/>
    <w:qFormat/>
    <w:uiPriority w:val="0"/>
    <w:rPr>
      <w:rFonts w:ascii="Times New Roman"/>
      <w:vanish/>
      <w:color w:val="FF0000"/>
    </w:rPr>
  </w:style>
  <w:style w:type="character" w:customStyle="1" w:styleId="83">
    <w:name w:val="标题 4 字符"/>
    <w:link w:val="5"/>
    <w:qFormat/>
    <w:uiPriority w:val="9"/>
    <w:rPr>
      <w:rFonts w:ascii="Arial" w:hAnsi="Arial" w:eastAsia="华文仿宋"/>
      <w:b/>
      <w:bCs/>
      <w:sz w:val="24"/>
      <w:szCs w:val="28"/>
      <w:lang w:val="zh-CN" w:eastAsia="zh-CN"/>
    </w:rPr>
  </w:style>
  <w:style w:type="paragraph" w:customStyle="1" w:styleId="84">
    <w:name w:val="B正文"/>
    <w:basedOn w:val="1"/>
    <w:qFormat/>
    <w:uiPriority w:val="0"/>
    <w:pPr>
      <w:spacing w:line="440" w:lineRule="exact"/>
      <w:ind w:firstLine="200" w:firstLineChars="200"/>
    </w:pPr>
    <w:rPr>
      <w:rFonts w:ascii="Times New Roman" w:hAnsi="Times New Roman" w:eastAsia="仿宋" w:cs="仿宋"/>
      <w:sz w:val="24"/>
      <w:szCs w:val="21"/>
    </w:rPr>
  </w:style>
  <w:style w:type="paragraph" w:customStyle="1" w:styleId="85">
    <w:name w:val="B表标题"/>
    <w:basedOn w:val="1"/>
    <w:next w:val="84"/>
    <w:qFormat/>
    <w:uiPriority w:val="0"/>
    <w:pPr>
      <w:spacing w:before="50" w:beforeLines="50" w:line="240" w:lineRule="exact"/>
      <w:jc w:val="center"/>
    </w:pPr>
    <w:rPr>
      <w:rFonts w:ascii="Times New Roman" w:hAnsi="Times New Roman" w:eastAsia="华文仿宋"/>
      <w:b/>
      <w:szCs w:val="21"/>
    </w:rPr>
  </w:style>
  <w:style w:type="paragraph" w:customStyle="1" w:styleId="86">
    <w:name w:val="_Style 5"/>
    <w:qFormat/>
    <w:uiPriority w:val="1"/>
    <w:pPr>
      <w:widowControl w:val="0"/>
    </w:pPr>
    <w:rPr>
      <w:rFonts w:ascii="Times New Roman" w:hAnsi="Times New Roman" w:eastAsia="宋体" w:cs="Times New Roman"/>
      <w:sz w:val="24"/>
      <w:szCs w:val="22"/>
      <w:lang w:val="en-US" w:eastAsia="en-US" w:bidi="ar-SA"/>
    </w:rPr>
  </w:style>
  <w:style w:type="character" w:customStyle="1" w:styleId="87">
    <w:name w:val="未处理的提及2"/>
    <w:semiHidden/>
    <w:unhideWhenUsed/>
    <w:qFormat/>
    <w:uiPriority w:val="99"/>
    <w:rPr>
      <w:color w:val="605E5C"/>
      <w:shd w:val="clear" w:color="auto" w:fill="E1DFDD"/>
    </w:rPr>
  </w:style>
  <w:style w:type="paragraph" w:customStyle="1" w:styleId="88">
    <w:name w:val="表内"/>
    <w:basedOn w:val="7"/>
    <w:link w:val="89"/>
    <w:qFormat/>
    <w:uiPriority w:val="0"/>
    <w:pPr>
      <w:snapToGrid w:val="0"/>
      <w:jc w:val="center"/>
    </w:pPr>
    <w:rPr>
      <w:rFonts w:ascii="Times New Roman" w:hAnsi="Times New Roman" w:eastAsia="仿宋_GB2312"/>
      <w:sz w:val="21"/>
      <w:szCs w:val="24"/>
    </w:rPr>
  </w:style>
  <w:style w:type="character" w:customStyle="1" w:styleId="89">
    <w:name w:val="表内 字符"/>
    <w:link w:val="88"/>
    <w:qFormat/>
    <w:locked/>
    <w:uiPriority w:val="0"/>
    <w:rPr>
      <w:rFonts w:eastAsia="仿宋_GB2312"/>
      <w:kern w:val="2"/>
      <w:sz w:val="21"/>
      <w:szCs w:val="24"/>
    </w:rPr>
  </w:style>
  <w:style w:type="character" w:customStyle="1" w:styleId="90">
    <w:name w:val="font21"/>
    <w:qFormat/>
    <w:uiPriority w:val="0"/>
    <w:rPr>
      <w:rFonts w:hint="default" w:ascii="Times New Roman" w:hAnsi="Times New Roman" w:cs="Times New Roman"/>
      <w:color w:val="000000"/>
      <w:sz w:val="21"/>
      <w:szCs w:val="21"/>
      <w:u w:val="none"/>
    </w:rPr>
  </w:style>
  <w:style w:type="character" w:customStyle="1" w:styleId="91">
    <w:name w:val="font11"/>
    <w:qFormat/>
    <w:uiPriority w:val="0"/>
    <w:rPr>
      <w:rFonts w:hint="eastAsia" w:ascii="仿宋" w:hAnsi="仿宋" w:eastAsia="仿宋"/>
      <w:color w:val="000000"/>
      <w:sz w:val="21"/>
      <w:szCs w:val="21"/>
      <w:u w:val="none"/>
    </w:rPr>
  </w:style>
  <w:style w:type="character" w:customStyle="1" w:styleId="92">
    <w:name w:val="font61"/>
    <w:qFormat/>
    <w:uiPriority w:val="0"/>
    <w:rPr>
      <w:rFonts w:hint="eastAsia" w:ascii="宋体" w:hAnsi="宋体" w:eastAsia="宋体"/>
      <w:b/>
      <w:bCs/>
      <w:color w:val="000000"/>
      <w:sz w:val="24"/>
      <w:szCs w:val="24"/>
      <w:u w:val="none"/>
    </w:rPr>
  </w:style>
  <w:style w:type="character" w:customStyle="1" w:styleId="93">
    <w:name w:val="font71"/>
    <w:qFormat/>
    <w:uiPriority w:val="0"/>
    <w:rPr>
      <w:rFonts w:hint="eastAsia" w:ascii="宋体" w:hAnsi="宋体" w:eastAsia="宋体"/>
      <w:b/>
      <w:bCs/>
      <w:color w:val="000000"/>
      <w:sz w:val="24"/>
      <w:szCs w:val="24"/>
      <w:u w:val="none"/>
    </w:rPr>
  </w:style>
  <w:style w:type="character" w:customStyle="1" w:styleId="94">
    <w:name w:val="font51"/>
    <w:qFormat/>
    <w:uiPriority w:val="0"/>
    <w:rPr>
      <w:rFonts w:hint="eastAsia" w:ascii="宋体" w:hAnsi="宋体" w:eastAsia="宋体"/>
      <w:color w:val="000000"/>
      <w:sz w:val="24"/>
      <w:szCs w:val="24"/>
      <w:u w:val="none"/>
    </w:rPr>
  </w:style>
  <w:style w:type="character" w:customStyle="1" w:styleId="95">
    <w:name w:val="font01"/>
    <w:qFormat/>
    <w:uiPriority w:val="0"/>
    <w:rPr>
      <w:rFonts w:hint="eastAsia" w:ascii="宋体" w:hAnsi="宋体" w:eastAsia="宋体"/>
      <w:color w:val="000000"/>
      <w:sz w:val="24"/>
      <w:szCs w:val="24"/>
      <w:u w:val="none"/>
    </w:rPr>
  </w:style>
  <w:style w:type="character" w:customStyle="1" w:styleId="96">
    <w:name w:val="font41"/>
    <w:qFormat/>
    <w:uiPriority w:val="0"/>
    <w:rPr>
      <w:rFonts w:hint="default" w:ascii="Times New Roman" w:hAnsi="Times New Roman" w:cs="Times New Roman"/>
      <w:color w:val="000000"/>
      <w:sz w:val="24"/>
      <w:szCs w:val="24"/>
      <w:u w:val="none"/>
    </w:rPr>
  </w:style>
  <w:style w:type="character" w:customStyle="1" w:styleId="97">
    <w:name w:val="font81"/>
    <w:qFormat/>
    <w:uiPriority w:val="0"/>
    <w:rPr>
      <w:rFonts w:hint="eastAsia" w:ascii="宋体" w:hAnsi="宋体" w:eastAsia="宋体"/>
      <w:b/>
      <w:bCs/>
      <w:color w:val="000000"/>
      <w:sz w:val="24"/>
      <w:szCs w:val="24"/>
      <w:u w:val="none"/>
    </w:rPr>
  </w:style>
  <w:style w:type="character" w:customStyle="1" w:styleId="98">
    <w:name w:val="font31"/>
    <w:qFormat/>
    <w:uiPriority w:val="0"/>
    <w:rPr>
      <w:rFonts w:hint="default" w:ascii="Times New Roman" w:hAnsi="Times New Roman" w:cs="Times New Roman"/>
      <w:color w:val="000000"/>
      <w:sz w:val="24"/>
      <w:szCs w:val="24"/>
      <w:u w:val="none"/>
    </w:rPr>
  </w:style>
  <w:style w:type="character" w:customStyle="1" w:styleId="99">
    <w:name w:val="日期 字符"/>
    <w:link w:val="13"/>
    <w:semiHidden/>
    <w:qFormat/>
    <w:uiPriority w:val="99"/>
    <w:rPr>
      <w:rFonts w:ascii="等线" w:hAnsi="等线" w:eastAsia="等线"/>
      <w:kern w:val="2"/>
      <w:sz w:val="21"/>
      <w:szCs w:val="22"/>
    </w:rPr>
  </w:style>
  <w:style w:type="paragraph" w:customStyle="1" w:styleId="100">
    <w:name w:val="修订4"/>
    <w:hidden/>
    <w:unhideWhenUsed/>
    <w:qFormat/>
    <w:uiPriority w:val="99"/>
    <w:rPr>
      <w:rFonts w:ascii="等线" w:hAnsi="等线" w:eastAsia="等线" w:cs="Times New Roman"/>
      <w:kern w:val="2"/>
      <w:sz w:val="21"/>
      <w:szCs w:val="22"/>
      <w:lang w:val="en-US" w:eastAsia="zh-CN" w:bidi="ar-SA"/>
    </w:rPr>
  </w:style>
  <w:style w:type="character" w:customStyle="1" w:styleId="101">
    <w:name w:val="font91"/>
    <w:basedOn w:val="26"/>
    <w:uiPriority w:val="0"/>
    <w:rPr>
      <w:rFonts w:hint="eastAsia" w:ascii="仿宋" w:hAnsi="仿宋" w:eastAsia="仿宋"/>
      <w:color w:val="000000"/>
      <w:sz w:val="21"/>
      <w:szCs w:val="21"/>
      <w:u w:val="none"/>
    </w:rPr>
  </w:style>
  <w:style w:type="character" w:customStyle="1" w:styleId="102">
    <w:name w:val="font101"/>
    <w:basedOn w:val="26"/>
    <w:qFormat/>
    <w:uiPriority w:val="0"/>
    <w:rPr>
      <w:rFonts w:hint="eastAsia" w:ascii="仿宋_GB2312" w:eastAsia="仿宋_GB2312"/>
      <w:color w:val="000000"/>
      <w:sz w:val="21"/>
      <w:szCs w:val="21"/>
      <w:u w:val="none"/>
      <w:vertAlign w:val="superscript"/>
    </w:rPr>
  </w:style>
  <w:style w:type="paragraph" w:customStyle="1" w:styleId="10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04">
    <w:name w:val="终结线"/>
    <w:basedOn w:val="1"/>
    <w:qFormat/>
    <w:uiPriority w:val="0"/>
    <w:pPr>
      <w:framePr w:hSpace="181" w:vSpace="181" w:wrap="around" w:vAnchor="text" w:hAnchor="margin" w:xAlign="center" w:y="285"/>
    </w:pPr>
  </w:style>
  <w:style w:type="paragraph" w:customStyle="1" w:styleId="105">
    <w:name w:val="一级无"/>
    <w:basedOn w:val="66"/>
    <w:qFormat/>
    <w:uiPriority w:val="0"/>
    <w:pPr>
      <w:spacing w:beforeLines="0" w:afterLines="0"/>
    </w:pPr>
    <w:rPr>
      <w:rFonts w:ascii="宋体" w:eastAsia="宋体"/>
    </w:rPr>
  </w:style>
  <w:style w:type="paragraph" w:customStyle="1" w:styleId="106">
    <w:name w:val="Revision"/>
    <w:hidden/>
    <w:unhideWhenUsed/>
    <w:uiPriority w:val="99"/>
    <w:rPr>
      <w:rFonts w:ascii="等线" w:hAnsi="等线" w:eastAsia="等线"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2013 - 2022 主题">
  <a:themeElements>
    <a:clrScheme name="Office 2013 - 2022">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7599</Words>
  <Characters>8715</Characters>
  <Lines>81</Lines>
  <Paragraphs>22</Paragraphs>
  <TotalTime>285</TotalTime>
  <ScaleCrop>false</ScaleCrop>
  <LinksUpToDate>false</LinksUpToDate>
  <CharactersWithSpaces>8878</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2024-11-18T13:42:00Z</dcterms:created>
  <dc:creator>Administrator</dc:creator>
  <cp:lastModifiedBy>华子</cp:lastModifiedBy>
  <cp:lastPrinted>2023-04-27T00:34:00Z</cp:lastPrinted>
  <dcterms:modified xsi:type="dcterms:W3CDTF">2025-04-07T02:47:51Z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3AB8CC23AFF64F69AF6E82825BE5237F_13</vt:lpwstr>
  </property>
</Properties>
</file>